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C" w:rsidRPr="00D75340" w:rsidRDefault="00966225">
      <w:pPr>
        <w:pBdr>
          <w:top w:val="nil"/>
          <w:left w:val="nil"/>
          <w:bottom w:val="nil"/>
          <w:right w:val="nil"/>
          <w:between w:val="nil"/>
        </w:pBdr>
        <w:tabs>
          <w:tab w:val="center" w:pos="3968"/>
          <w:tab w:val="left" w:pos="7133"/>
        </w:tabs>
        <w:spacing w:after="0" w:line="240" w:lineRule="auto"/>
        <w:jc w:val="center"/>
        <w:rPr>
          <w:rFonts w:ascii="Times New Roman" w:eastAsia="Times New Roman" w:hAnsi="Times New Roman"/>
          <w:b/>
          <w:color w:val="000000"/>
          <w:sz w:val="24"/>
          <w:szCs w:val="24"/>
          <w:lang w:val="id-ID"/>
        </w:rPr>
      </w:pPr>
      <w:r w:rsidRPr="00D75340">
        <w:rPr>
          <w:noProof/>
        </w:rPr>
        <w:drawing>
          <wp:anchor distT="0" distB="0" distL="0" distR="0" simplePos="0" relativeHeight="251659264" behindDoc="0" locked="0" layoutInCell="1" hidden="0" allowOverlap="1" wp14:anchorId="10C5CCCF" wp14:editId="0F4ED068">
            <wp:simplePos x="0" y="0"/>
            <wp:positionH relativeFrom="column">
              <wp:posOffset>4524375</wp:posOffset>
            </wp:positionH>
            <wp:positionV relativeFrom="paragraph">
              <wp:posOffset>0</wp:posOffset>
            </wp:positionV>
            <wp:extent cx="1691005" cy="1127125"/>
            <wp:effectExtent l="0" t="0" r="4445" b="0"/>
            <wp:wrapSquare wrapText="bothSides" distT="0" distB="0" distL="0" distR="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91005" cy="1127125"/>
                    </a:xfrm>
                    <a:prstGeom prst="rect">
                      <a:avLst/>
                    </a:prstGeom>
                    <a:ln/>
                  </pic:spPr>
                </pic:pic>
              </a:graphicData>
            </a:graphic>
          </wp:anchor>
        </w:drawing>
      </w:r>
      <w:r w:rsidR="00983431" w:rsidRPr="00D75340">
        <w:rPr>
          <w:noProof/>
        </w:rPr>
        <w:drawing>
          <wp:anchor distT="0" distB="0" distL="0" distR="0" simplePos="0" relativeHeight="251658240" behindDoc="0" locked="0" layoutInCell="1" hidden="0" allowOverlap="1" wp14:anchorId="29CD443C" wp14:editId="42BF76F5">
            <wp:simplePos x="0" y="0"/>
            <wp:positionH relativeFrom="column">
              <wp:posOffset>-22225</wp:posOffset>
            </wp:positionH>
            <wp:positionV relativeFrom="paragraph">
              <wp:posOffset>64770</wp:posOffset>
            </wp:positionV>
            <wp:extent cx="890088" cy="779145"/>
            <wp:effectExtent l="0" t="0" r="5715" b="1905"/>
            <wp:wrapSquare wrapText="bothSides" distT="0" distB="0" distL="0" distR="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90088" cy="779145"/>
                    </a:xfrm>
                    <a:prstGeom prst="rect">
                      <a:avLst/>
                    </a:prstGeom>
                    <a:ln/>
                  </pic:spPr>
                </pic:pic>
              </a:graphicData>
            </a:graphic>
          </wp:anchor>
        </w:drawing>
      </w:r>
      <w:r w:rsidR="00983431" w:rsidRPr="00D75340">
        <w:rPr>
          <w:noProof/>
        </w:rPr>
        <mc:AlternateContent>
          <mc:Choice Requires="wpg">
            <w:drawing>
              <wp:anchor distT="0" distB="0" distL="0" distR="0" simplePos="0" relativeHeight="251660288" behindDoc="0" locked="0" layoutInCell="1" hidden="0" allowOverlap="1">
                <wp:simplePos x="0" y="0"/>
                <wp:positionH relativeFrom="column">
                  <wp:posOffset>-25399</wp:posOffset>
                </wp:positionH>
                <wp:positionV relativeFrom="paragraph">
                  <wp:posOffset>0</wp:posOffset>
                </wp:positionV>
                <wp:extent cx="5876925" cy="381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407538" y="3780000"/>
                          <a:ext cx="5876925" cy="0"/>
                        </a:xfrm>
                        <a:prstGeom prst="straightConnector1">
                          <a:avLst/>
                        </a:prstGeom>
                        <a:noFill/>
                        <a:ln w="38100" cap="flat" cmpd="sng">
                          <a:solidFill>
                            <a:srgbClr val="0FA907"/>
                          </a:solidFill>
                          <a:prstDash val="solid"/>
                          <a:round/>
                          <a:headEnd type="none" w="med" len="med"/>
                          <a:tailEnd type="none" w="med" len="med"/>
                        </a:ln>
                        <a:effectLst>
                          <a:outerShdw blurRad="40000" dist="23000" dir="5400000" rotWithShape="0">
                            <a:srgbClr val="000000">
                              <a:alpha val="34901"/>
                            </a:srgbClr>
                          </a:outerShdw>
                          <a:reflection stA="50000" endA="300" endPos="90000" dist="50800" dir="5400000" sy="-100000" algn="bl" rotWithShape="0"/>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-25399</wp:posOffset>
                </wp:positionH>
                <wp:positionV relativeFrom="paragraph">
                  <wp:posOffset>0</wp:posOffset>
                </wp:positionV>
                <wp:extent cx="5876925" cy="38100"/>
                <wp:effectExtent b="0" l="0" r="0" t="0"/>
                <wp:wrapNone/>
                <wp:docPr id="102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876925" cy="38100"/>
                        </a:xfrm>
                        <a:prstGeom prst="rect"/>
                        <a:ln/>
                      </pic:spPr>
                    </pic:pic>
                  </a:graphicData>
                </a:graphic>
              </wp:anchor>
            </w:drawing>
          </mc:Fallback>
        </mc:AlternateContent>
      </w:r>
      <w:r w:rsidR="00983431" w:rsidRPr="00D75340">
        <w:rPr>
          <w:noProof/>
        </w:rPr>
        <mc:AlternateContent>
          <mc:Choice Requires="wpg">
            <w:drawing>
              <wp:anchor distT="0" distB="0" distL="0" distR="0" simplePos="0" relativeHeight="251661312" behindDoc="0" locked="0" layoutInCell="1" hidden="0" allowOverlap="1">
                <wp:simplePos x="0" y="0"/>
                <wp:positionH relativeFrom="column">
                  <wp:posOffset>-38099</wp:posOffset>
                </wp:positionH>
                <wp:positionV relativeFrom="paragraph">
                  <wp:posOffset>63500</wp:posOffset>
                </wp:positionV>
                <wp:extent cx="5876925"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407538" y="3780000"/>
                          <a:ext cx="5876925" cy="0"/>
                        </a:xfrm>
                        <a:prstGeom prst="straightConnector1">
                          <a:avLst/>
                        </a:prstGeom>
                        <a:noFill/>
                        <a:ln w="9525" cap="flat" cmpd="sng">
                          <a:solidFill>
                            <a:srgbClr val="0FA907"/>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-38099</wp:posOffset>
                </wp:positionH>
                <wp:positionV relativeFrom="paragraph">
                  <wp:posOffset>63500</wp:posOffset>
                </wp:positionV>
                <wp:extent cx="5876925" cy="12700"/>
                <wp:effectExtent b="0" l="0" r="0" t="0"/>
                <wp:wrapNone/>
                <wp:docPr id="103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876925" cy="12700"/>
                        </a:xfrm>
                        <a:prstGeom prst="rect"/>
                        <a:ln/>
                      </pic:spPr>
                    </pic:pic>
                  </a:graphicData>
                </a:graphic>
              </wp:anchor>
            </w:drawing>
          </mc:Fallback>
        </mc:AlternateContent>
      </w:r>
    </w:p>
    <w:p w:rsidR="00DF294C" w:rsidRPr="00D75340" w:rsidRDefault="00966225" w:rsidP="00966225">
      <w:pPr>
        <w:tabs>
          <w:tab w:val="center" w:pos="4140"/>
          <w:tab w:val="left" w:pos="7133"/>
        </w:tabs>
        <w:spacing w:before="240" w:after="240" w:line="240" w:lineRule="auto"/>
        <w:jc w:val="center"/>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 xml:space="preserve">Profil </w:t>
      </w:r>
      <w:r w:rsidRPr="00D75340">
        <w:rPr>
          <w:rFonts w:ascii="Times New Roman" w:eastAsia="Times New Roman" w:hAnsi="Times New Roman"/>
          <w:b/>
          <w:i/>
          <w:sz w:val="24"/>
          <w:szCs w:val="24"/>
          <w:lang w:val="id-ID"/>
        </w:rPr>
        <w:t>Pedagogical Content Knowledge</w:t>
      </w:r>
      <w:r w:rsidRPr="00D75340">
        <w:rPr>
          <w:rFonts w:ascii="Times New Roman" w:eastAsia="Times New Roman" w:hAnsi="Times New Roman"/>
          <w:b/>
          <w:sz w:val="24"/>
          <w:szCs w:val="24"/>
          <w:lang w:val="id-ID"/>
        </w:rPr>
        <w:t xml:space="preserve"> Calon Guru Matematika yang Berkeyakinan Platonis</w:t>
      </w:r>
    </w:p>
    <w:p w:rsidR="00DF294C" w:rsidRPr="00D75340" w:rsidRDefault="00DF294C" w:rsidP="00966225">
      <w:pPr>
        <w:pBdr>
          <w:top w:val="nil"/>
          <w:left w:val="nil"/>
          <w:bottom w:val="nil"/>
          <w:right w:val="nil"/>
          <w:between w:val="nil"/>
        </w:pBdr>
        <w:tabs>
          <w:tab w:val="center" w:pos="4140"/>
          <w:tab w:val="left" w:pos="7133"/>
        </w:tabs>
        <w:spacing w:after="0" w:line="240" w:lineRule="auto"/>
        <w:jc w:val="center"/>
        <w:rPr>
          <w:rFonts w:ascii="Times New Roman" w:eastAsia="Times New Roman" w:hAnsi="Times New Roman"/>
          <w:b/>
          <w:sz w:val="24"/>
          <w:szCs w:val="24"/>
          <w:lang w:val="id-ID"/>
        </w:rPr>
      </w:pPr>
    </w:p>
    <w:p w:rsidR="00DF294C" w:rsidRPr="00D75340" w:rsidRDefault="00DF294C">
      <w:pPr>
        <w:rPr>
          <w:rFonts w:ascii="Times New Roman" w:eastAsia="Times New Roman" w:hAnsi="Times New Roman"/>
          <w:sz w:val="20"/>
          <w:szCs w:val="20"/>
          <w:lang w:val="id-ID"/>
        </w:rPr>
      </w:pPr>
    </w:p>
    <w:p w:rsidR="00DF294C" w:rsidRPr="00D75340" w:rsidRDefault="00C23FFE">
      <w:pPr>
        <w:rPr>
          <w:rFonts w:ascii="Times New Roman" w:eastAsia="Times New Roman" w:hAnsi="Times New Roman"/>
          <w:sz w:val="20"/>
          <w:szCs w:val="20"/>
          <w:lang w:val="id-ID"/>
        </w:rPr>
      </w:pPr>
      <w:r w:rsidRPr="00D75340">
        <w:rPr>
          <w:rFonts w:ascii="Times New Roman" w:eastAsia="Times New Roman" w:hAnsi="Times New Roman"/>
          <w:sz w:val="20"/>
          <w:szCs w:val="20"/>
          <w:lang w:val="id-ID"/>
        </w:rPr>
        <w:t>Nani Fahmawati</w:t>
      </w:r>
      <w:r w:rsidR="00983431" w:rsidRPr="00D75340">
        <w:rPr>
          <w:rFonts w:ascii="Times New Roman" w:eastAsia="Times New Roman" w:hAnsi="Times New Roman"/>
          <w:sz w:val="20"/>
          <w:szCs w:val="20"/>
          <w:vertAlign w:val="superscript"/>
          <w:lang w:val="id-ID"/>
        </w:rPr>
        <w:t>1,*</w:t>
      </w:r>
      <w:r w:rsidR="00983431" w:rsidRPr="00D75340">
        <w:rPr>
          <w:rFonts w:ascii="Times New Roman" w:eastAsia="Times New Roman" w:hAnsi="Times New Roman"/>
          <w:sz w:val="20"/>
          <w:szCs w:val="20"/>
          <w:lang w:val="id-ID"/>
        </w:rPr>
        <w:t xml:space="preserve">, </w:t>
      </w:r>
      <w:r w:rsidRPr="00D75340">
        <w:rPr>
          <w:rFonts w:ascii="Times New Roman" w:eastAsia="Times New Roman" w:hAnsi="Times New Roman"/>
          <w:sz w:val="20"/>
          <w:szCs w:val="20"/>
          <w:lang w:val="id-ID"/>
        </w:rPr>
        <w:t>Sadrack Luden Pagiling</w:t>
      </w:r>
      <w:r w:rsidRPr="00D75340">
        <w:rPr>
          <w:rFonts w:ascii="Times New Roman" w:eastAsia="Times New Roman" w:hAnsi="Times New Roman"/>
          <w:sz w:val="20"/>
          <w:szCs w:val="20"/>
          <w:vertAlign w:val="superscript"/>
          <w:lang w:val="id-ID"/>
        </w:rPr>
        <w:t xml:space="preserve"> </w:t>
      </w:r>
      <w:r w:rsidR="00983431" w:rsidRPr="00D75340">
        <w:rPr>
          <w:rFonts w:ascii="Times New Roman" w:eastAsia="Times New Roman" w:hAnsi="Times New Roman"/>
          <w:sz w:val="20"/>
          <w:szCs w:val="20"/>
          <w:vertAlign w:val="superscript"/>
          <w:lang w:val="id-ID"/>
        </w:rPr>
        <w:t>2</w:t>
      </w:r>
      <w:r w:rsidR="00983431" w:rsidRPr="00D75340">
        <w:rPr>
          <w:rFonts w:ascii="Times New Roman" w:eastAsia="Times New Roman" w:hAnsi="Times New Roman"/>
          <w:sz w:val="20"/>
          <w:szCs w:val="20"/>
          <w:lang w:val="id-ID"/>
        </w:rPr>
        <w:t xml:space="preserve">, </w:t>
      </w:r>
      <w:r w:rsidR="00D75340" w:rsidRPr="00D75340">
        <w:rPr>
          <w:rFonts w:ascii="Times New Roman" w:eastAsia="Times New Roman" w:hAnsi="Times New Roman"/>
          <w:sz w:val="20"/>
          <w:szCs w:val="20"/>
          <w:lang w:val="id-ID"/>
        </w:rPr>
        <w:t>Dessy Rizki</w:t>
      </w:r>
      <w:r w:rsidRPr="00D75340">
        <w:rPr>
          <w:rFonts w:ascii="Times New Roman" w:eastAsia="Times New Roman" w:hAnsi="Times New Roman"/>
          <w:sz w:val="20"/>
          <w:szCs w:val="20"/>
          <w:lang w:val="id-ID"/>
        </w:rPr>
        <w:t xml:space="preserve"> Suryani</w:t>
      </w:r>
      <w:r w:rsidRPr="00D75340">
        <w:rPr>
          <w:rFonts w:ascii="Times New Roman" w:eastAsia="Times New Roman" w:hAnsi="Times New Roman"/>
          <w:sz w:val="20"/>
          <w:szCs w:val="20"/>
          <w:vertAlign w:val="superscript"/>
          <w:lang w:val="id-ID"/>
        </w:rPr>
        <w:t xml:space="preserve"> </w:t>
      </w:r>
      <w:r w:rsidR="00966225" w:rsidRPr="00D75340">
        <w:rPr>
          <w:rFonts w:ascii="Times New Roman" w:eastAsia="Times New Roman" w:hAnsi="Times New Roman"/>
          <w:sz w:val="20"/>
          <w:szCs w:val="20"/>
          <w:vertAlign w:val="superscript"/>
          <w:lang w:val="id-ID"/>
        </w:rPr>
        <w:t>3</w:t>
      </w:r>
    </w:p>
    <w:p w:rsidR="007209FC" w:rsidRPr="00D75340" w:rsidRDefault="00983431">
      <w:pPr>
        <w:spacing w:after="0"/>
        <w:rPr>
          <w:rFonts w:ascii="Times New Roman" w:eastAsia="Times New Roman" w:hAnsi="Times New Roman"/>
          <w:sz w:val="20"/>
          <w:szCs w:val="20"/>
          <w:lang w:val="id-ID"/>
        </w:rPr>
      </w:pPr>
      <w:r w:rsidRPr="00D75340">
        <w:rPr>
          <w:rFonts w:ascii="Times New Roman" w:eastAsia="Times New Roman" w:hAnsi="Times New Roman"/>
          <w:sz w:val="20"/>
          <w:szCs w:val="20"/>
          <w:vertAlign w:val="superscript"/>
          <w:lang w:val="id-ID"/>
        </w:rPr>
        <w:t>1</w:t>
      </w:r>
      <w:r w:rsidRPr="00D75340">
        <w:rPr>
          <w:rFonts w:ascii="Times New Roman" w:eastAsia="Times New Roman" w:hAnsi="Times New Roman"/>
          <w:sz w:val="20"/>
          <w:szCs w:val="20"/>
          <w:lang w:val="id-ID"/>
        </w:rPr>
        <w:t xml:space="preserve">Universitas </w:t>
      </w:r>
      <w:r w:rsidR="007209FC" w:rsidRPr="00D75340">
        <w:rPr>
          <w:rFonts w:ascii="Times New Roman" w:eastAsia="Times New Roman" w:hAnsi="Times New Roman"/>
          <w:sz w:val="20"/>
          <w:szCs w:val="20"/>
          <w:lang w:val="id-ID"/>
        </w:rPr>
        <w:t>Musamus</w:t>
      </w:r>
      <w:r w:rsidRPr="00D75340">
        <w:rPr>
          <w:rFonts w:ascii="Times New Roman" w:eastAsia="Times New Roman" w:hAnsi="Times New Roman"/>
          <w:sz w:val="20"/>
          <w:szCs w:val="20"/>
          <w:lang w:val="id-ID"/>
        </w:rPr>
        <w:t xml:space="preserve">, </w:t>
      </w:r>
      <w:r w:rsidR="00C23FFE" w:rsidRPr="00D75340">
        <w:rPr>
          <w:rFonts w:ascii="Times New Roman" w:eastAsia="Times New Roman" w:hAnsi="Times New Roman"/>
          <w:sz w:val="20"/>
          <w:szCs w:val="20"/>
          <w:lang w:val="id-ID"/>
        </w:rPr>
        <w:t>nanyfahma14</w:t>
      </w:r>
      <w:r w:rsidR="005726CC" w:rsidRPr="00D75340">
        <w:rPr>
          <w:rFonts w:ascii="Times New Roman" w:eastAsia="Times New Roman" w:hAnsi="Times New Roman"/>
          <w:sz w:val="20"/>
          <w:szCs w:val="20"/>
          <w:lang w:val="id-ID"/>
        </w:rPr>
        <w:t>@gmail.com</w:t>
      </w:r>
    </w:p>
    <w:p w:rsidR="00DF294C" w:rsidRPr="00D75340" w:rsidRDefault="00983431">
      <w:pPr>
        <w:spacing w:after="0"/>
        <w:rPr>
          <w:rFonts w:ascii="Times New Roman" w:eastAsia="Times New Roman" w:hAnsi="Times New Roman"/>
          <w:sz w:val="20"/>
          <w:szCs w:val="20"/>
          <w:lang w:val="id-ID"/>
        </w:rPr>
      </w:pPr>
      <w:r w:rsidRPr="00D75340">
        <w:rPr>
          <w:rFonts w:ascii="Times New Roman" w:eastAsia="Times New Roman" w:hAnsi="Times New Roman"/>
          <w:sz w:val="20"/>
          <w:szCs w:val="20"/>
          <w:vertAlign w:val="superscript"/>
          <w:lang w:val="id-ID"/>
        </w:rPr>
        <w:t>2</w:t>
      </w:r>
      <w:r w:rsidRPr="00D75340">
        <w:rPr>
          <w:rFonts w:ascii="Times New Roman" w:eastAsia="Times New Roman" w:hAnsi="Times New Roman"/>
          <w:sz w:val="20"/>
          <w:szCs w:val="20"/>
          <w:lang w:val="id-ID"/>
        </w:rPr>
        <w:t xml:space="preserve">Universitas </w:t>
      </w:r>
      <w:r w:rsidR="007209FC" w:rsidRPr="00D75340">
        <w:rPr>
          <w:rFonts w:ascii="Times New Roman" w:eastAsia="Times New Roman" w:hAnsi="Times New Roman"/>
          <w:sz w:val="20"/>
          <w:szCs w:val="20"/>
          <w:lang w:val="id-ID"/>
        </w:rPr>
        <w:t>Musamus</w:t>
      </w:r>
      <w:r w:rsidRPr="00D75340">
        <w:rPr>
          <w:rFonts w:ascii="Times New Roman" w:eastAsia="Times New Roman" w:hAnsi="Times New Roman"/>
          <w:sz w:val="20"/>
          <w:szCs w:val="20"/>
          <w:lang w:val="id-ID"/>
        </w:rPr>
        <w:t xml:space="preserve">, </w:t>
      </w:r>
      <w:r w:rsidR="00C23FFE" w:rsidRPr="00D75340">
        <w:rPr>
          <w:rFonts w:ascii="Times New Roman" w:eastAsia="Times New Roman" w:hAnsi="Times New Roman"/>
          <w:sz w:val="20"/>
          <w:szCs w:val="20"/>
          <w:lang w:val="id-ID"/>
        </w:rPr>
        <w:t>pagilingsadrack@gmail.com</w:t>
      </w:r>
    </w:p>
    <w:p w:rsidR="00DF294C" w:rsidRPr="00D75340" w:rsidRDefault="00983431">
      <w:pPr>
        <w:rPr>
          <w:rFonts w:ascii="Times New Roman" w:eastAsia="Times New Roman" w:hAnsi="Times New Roman"/>
          <w:sz w:val="20"/>
          <w:szCs w:val="20"/>
          <w:lang w:val="id-ID"/>
        </w:rPr>
      </w:pPr>
      <w:r w:rsidRPr="00D75340">
        <w:rPr>
          <w:rFonts w:ascii="Times New Roman" w:eastAsia="Times New Roman" w:hAnsi="Times New Roman"/>
          <w:sz w:val="20"/>
          <w:szCs w:val="20"/>
          <w:vertAlign w:val="superscript"/>
          <w:lang w:val="id-ID"/>
        </w:rPr>
        <w:t>3</w:t>
      </w:r>
      <w:r w:rsidRPr="00D75340">
        <w:rPr>
          <w:rFonts w:ascii="Times New Roman" w:eastAsia="Times New Roman" w:hAnsi="Times New Roman"/>
          <w:sz w:val="20"/>
          <w:szCs w:val="20"/>
          <w:lang w:val="id-ID"/>
        </w:rPr>
        <w:t xml:space="preserve">Universitas </w:t>
      </w:r>
      <w:r w:rsidR="007209FC" w:rsidRPr="00D75340">
        <w:rPr>
          <w:rFonts w:ascii="Times New Roman" w:eastAsia="Times New Roman" w:hAnsi="Times New Roman"/>
          <w:sz w:val="20"/>
          <w:szCs w:val="20"/>
          <w:lang w:val="id-ID"/>
        </w:rPr>
        <w:t>Musamus</w:t>
      </w:r>
      <w:r w:rsidRPr="00D75340">
        <w:rPr>
          <w:rFonts w:ascii="Times New Roman" w:eastAsia="Times New Roman" w:hAnsi="Times New Roman"/>
          <w:sz w:val="20"/>
          <w:szCs w:val="20"/>
          <w:lang w:val="id-ID"/>
        </w:rPr>
        <w:t xml:space="preserve">, </w:t>
      </w:r>
      <w:r w:rsidR="00C23FFE" w:rsidRPr="00D75340">
        <w:rPr>
          <w:rFonts w:ascii="Times New Roman" w:eastAsia="Times New Roman" w:hAnsi="Times New Roman"/>
          <w:sz w:val="20"/>
          <w:szCs w:val="20"/>
          <w:lang w:val="id-ID"/>
        </w:rPr>
        <w:t>drsuryani7@gmail.com</w:t>
      </w:r>
    </w:p>
    <w:tbl>
      <w:tblPr>
        <w:tblStyle w:val="a8"/>
        <w:tblW w:w="9085" w:type="dxa"/>
        <w:tblLayout w:type="fixed"/>
        <w:tblLook w:val="0400" w:firstRow="0" w:lastRow="0" w:firstColumn="0" w:lastColumn="0" w:noHBand="0" w:noVBand="1"/>
      </w:tblPr>
      <w:tblGrid>
        <w:gridCol w:w="2962"/>
        <w:gridCol w:w="30"/>
        <w:gridCol w:w="6093"/>
      </w:tblGrid>
      <w:tr w:rsidR="00DF294C" w:rsidRPr="00D75340" w:rsidTr="004734C8">
        <w:trPr>
          <w:trHeight w:val="210"/>
        </w:trPr>
        <w:tc>
          <w:tcPr>
            <w:tcW w:w="2962" w:type="dxa"/>
            <w:shd w:val="clear" w:color="auto" w:fill="00B050"/>
          </w:tcPr>
          <w:p w:rsidR="00DF294C" w:rsidRPr="00D75340" w:rsidRDefault="007209FC">
            <w:pPr>
              <w:spacing w:after="0" w:line="240" w:lineRule="auto"/>
              <w:rPr>
                <w:rFonts w:ascii="Times New Roman" w:eastAsia="Times New Roman" w:hAnsi="Times New Roman"/>
                <w:b/>
                <w:sz w:val="20"/>
                <w:szCs w:val="20"/>
                <w:lang w:val="id-ID"/>
              </w:rPr>
            </w:pPr>
            <w:r w:rsidRPr="00D75340">
              <w:rPr>
                <w:rFonts w:ascii="Times New Roman" w:eastAsia="Times New Roman" w:hAnsi="Times New Roman"/>
                <w:b/>
                <w:sz w:val="20"/>
                <w:szCs w:val="20"/>
                <w:lang w:val="id-ID"/>
              </w:rPr>
              <w:t>Info Artikel</w:t>
            </w:r>
          </w:p>
        </w:tc>
        <w:tc>
          <w:tcPr>
            <w:tcW w:w="30" w:type="dxa"/>
            <w:shd w:val="clear" w:color="auto" w:fill="00B050"/>
          </w:tcPr>
          <w:p w:rsidR="00DF294C" w:rsidRPr="00D75340" w:rsidRDefault="00DF294C">
            <w:pPr>
              <w:spacing w:after="0" w:line="240" w:lineRule="auto"/>
              <w:rPr>
                <w:rFonts w:ascii="Times New Roman" w:eastAsia="Times New Roman" w:hAnsi="Times New Roman"/>
                <w:sz w:val="20"/>
                <w:szCs w:val="20"/>
                <w:lang w:val="id-ID"/>
              </w:rPr>
            </w:pPr>
          </w:p>
        </w:tc>
        <w:tc>
          <w:tcPr>
            <w:tcW w:w="6093" w:type="dxa"/>
            <w:shd w:val="clear" w:color="auto" w:fill="00B050"/>
          </w:tcPr>
          <w:p w:rsidR="00DF294C" w:rsidRPr="00D75340" w:rsidRDefault="007209FC">
            <w:pPr>
              <w:spacing w:after="0" w:line="240" w:lineRule="auto"/>
              <w:rPr>
                <w:rFonts w:ascii="Times New Roman" w:eastAsia="Times New Roman" w:hAnsi="Times New Roman"/>
                <w:b/>
                <w:sz w:val="20"/>
                <w:szCs w:val="20"/>
                <w:lang w:val="id-ID"/>
              </w:rPr>
            </w:pPr>
            <w:r w:rsidRPr="00D75340">
              <w:rPr>
                <w:rFonts w:ascii="Times New Roman" w:eastAsia="Times New Roman" w:hAnsi="Times New Roman"/>
                <w:b/>
                <w:sz w:val="20"/>
                <w:szCs w:val="20"/>
                <w:lang w:val="id-ID"/>
              </w:rPr>
              <w:t>Abstrak</w:t>
            </w:r>
          </w:p>
        </w:tc>
      </w:tr>
      <w:tr w:rsidR="00DF294C" w:rsidRPr="00D75340" w:rsidTr="004734C8">
        <w:trPr>
          <w:trHeight w:val="3090"/>
        </w:trPr>
        <w:tc>
          <w:tcPr>
            <w:tcW w:w="2962" w:type="dxa"/>
          </w:tcPr>
          <w:p w:rsidR="00DF294C" w:rsidRPr="00D75340" w:rsidRDefault="00DF294C">
            <w:pPr>
              <w:spacing w:after="0" w:line="240" w:lineRule="auto"/>
              <w:rPr>
                <w:rFonts w:ascii="Times New Roman" w:eastAsia="Times New Roman" w:hAnsi="Times New Roman"/>
                <w:i/>
                <w:sz w:val="20"/>
                <w:szCs w:val="20"/>
                <w:lang w:val="id-ID"/>
              </w:rPr>
            </w:pPr>
          </w:p>
          <w:p w:rsidR="00DF294C" w:rsidRPr="00D75340" w:rsidRDefault="00983431">
            <w:pPr>
              <w:spacing w:after="0" w:line="240" w:lineRule="auto"/>
              <w:rPr>
                <w:rFonts w:ascii="Times New Roman" w:eastAsia="Times New Roman" w:hAnsi="Times New Roman"/>
                <w:i/>
                <w:sz w:val="20"/>
                <w:szCs w:val="20"/>
                <w:lang w:val="id-ID"/>
              </w:rPr>
            </w:pPr>
            <w:r w:rsidRPr="00D75340">
              <w:rPr>
                <w:rFonts w:ascii="Times New Roman" w:eastAsia="Times New Roman" w:hAnsi="Times New Roman"/>
                <w:i/>
                <w:sz w:val="20"/>
                <w:szCs w:val="20"/>
                <w:lang w:val="id-ID"/>
              </w:rPr>
              <w:t>Submitted  : dd:mm:yyyyy</w:t>
            </w:r>
          </w:p>
          <w:p w:rsidR="00DF294C" w:rsidRPr="00D75340" w:rsidRDefault="00983431">
            <w:pPr>
              <w:spacing w:after="0" w:line="240" w:lineRule="auto"/>
              <w:rPr>
                <w:rFonts w:ascii="Times New Roman" w:eastAsia="Times New Roman" w:hAnsi="Times New Roman"/>
                <w:i/>
                <w:sz w:val="20"/>
                <w:szCs w:val="20"/>
                <w:lang w:val="id-ID"/>
              </w:rPr>
            </w:pPr>
            <w:r w:rsidRPr="00D75340">
              <w:rPr>
                <w:rFonts w:ascii="Times New Roman" w:eastAsia="Times New Roman" w:hAnsi="Times New Roman"/>
                <w:i/>
                <w:sz w:val="20"/>
                <w:szCs w:val="20"/>
                <w:lang w:val="id-ID"/>
              </w:rPr>
              <w:t>Revised     : dd:mm:yyyyy</w:t>
            </w:r>
          </w:p>
          <w:p w:rsidR="00DF294C" w:rsidRPr="00D75340" w:rsidRDefault="00983431">
            <w:pPr>
              <w:spacing w:after="0" w:line="240" w:lineRule="auto"/>
              <w:rPr>
                <w:rFonts w:ascii="Times New Roman" w:eastAsia="Times New Roman" w:hAnsi="Times New Roman"/>
                <w:i/>
                <w:sz w:val="20"/>
                <w:szCs w:val="20"/>
                <w:lang w:val="id-ID"/>
              </w:rPr>
            </w:pPr>
            <w:r w:rsidRPr="00D75340">
              <w:rPr>
                <w:rFonts w:ascii="Times New Roman" w:eastAsia="Times New Roman" w:hAnsi="Times New Roman"/>
                <w:i/>
                <w:sz w:val="20"/>
                <w:szCs w:val="20"/>
                <w:lang w:val="id-ID"/>
              </w:rPr>
              <w:t>Accepted   : dd:mm:yyyyy</w:t>
            </w:r>
          </w:p>
          <w:p w:rsidR="00DF294C" w:rsidRPr="00D75340" w:rsidRDefault="00983431">
            <w:pPr>
              <w:spacing w:after="0" w:line="240" w:lineRule="auto"/>
              <w:rPr>
                <w:rFonts w:ascii="Times New Roman" w:eastAsia="Times New Roman" w:hAnsi="Times New Roman"/>
                <w:i/>
                <w:sz w:val="20"/>
                <w:szCs w:val="20"/>
                <w:lang w:val="id-ID"/>
              </w:rPr>
            </w:pPr>
            <w:r w:rsidRPr="00D75340">
              <w:rPr>
                <w:rFonts w:ascii="Times New Roman" w:eastAsia="Times New Roman" w:hAnsi="Times New Roman"/>
                <w:i/>
                <w:sz w:val="20"/>
                <w:szCs w:val="20"/>
                <w:lang w:val="id-ID"/>
              </w:rPr>
              <w:t>Published  : dd:mm:yyyyy</w:t>
            </w:r>
          </w:p>
          <w:p w:rsidR="00DF294C" w:rsidRPr="00D75340" w:rsidRDefault="00DF294C">
            <w:pPr>
              <w:spacing w:after="0" w:line="240" w:lineRule="auto"/>
              <w:rPr>
                <w:rFonts w:ascii="Times New Roman" w:eastAsia="Times New Roman" w:hAnsi="Times New Roman"/>
                <w:i/>
                <w:sz w:val="20"/>
                <w:szCs w:val="20"/>
                <w:lang w:val="id-ID"/>
              </w:rPr>
            </w:pPr>
          </w:p>
          <w:p w:rsidR="00DF294C" w:rsidRPr="00D75340" w:rsidRDefault="00DF294C">
            <w:pPr>
              <w:spacing w:after="0" w:line="240" w:lineRule="auto"/>
              <w:rPr>
                <w:rFonts w:ascii="Times New Roman" w:eastAsia="Times New Roman" w:hAnsi="Times New Roman"/>
                <w:i/>
                <w:sz w:val="20"/>
                <w:szCs w:val="20"/>
                <w:lang w:val="id-ID"/>
              </w:rPr>
            </w:pPr>
          </w:p>
          <w:p w:rsidR="00DF294C" w:rsidRPr="00D75340" w:rsidRDefault="00983431">
            <w:pPr>
              <w:spacing w:after="0" w:line="240" w:lineRule="auto"/>
              <w:rPr>
                <w:rFonts w:ascii="Times New Roman" w:eastAsia="Times New Roman" w:hAnsi="Times New Roman"/>
                <w:i/>
                <w:sz w:val="20"/>
                <w:szCs w:val="20"/>
                <w:lang w:val="id-ID"/>
              </w:rPr>
            </w:pPr>
            <w:r w:rsidRPr="00D75340">
              <w:rPr>
                <w:rFonts w:ascii="Times New Roman" w:eastAsia="Times New Roman" w:hAnsi="Times New Roman"/>
                <w:sz w:val="20"/>
                <w:szCs w:val="20"/>
                <w:lang w:val="id-ID"/>
              </w:rPr>
              <w:t xml:space="preserve">*Correspondence: </w:t>
            </w:r>
            <w:r w:rsidRPr="00D75340">
              <w:rPr>
                <w:rFonts w:ascii="Times New Roman" w:eastAsia="Times New Roman" w:hAnsi="Times New Roman"/>
                <w:color w:val="0000FF"/>
                <w:sz w:val="20"/>
                <w:szCs w:val="20"/>
                <w:u w:val="single"/>
                <w:lang w:val="id-ID"/>
              </w:rPr>
              <w:t>jurnalaljabar@radenintan.ac.id</w:t>
            </w:r>
            <w:r w:rsidRPr="00D75340">
              <w:rPr>
                <w:rFonts w:ascii="Times New Roman" w:eastAsia="Times New Roman" w:hAnsi="Times New Roman"/>
                <w:sz w:val="18"/>
                <w:szCs w:val="18"/>
                <w:lang w:val="id-ID"/>
              </w:rPr>
              <w:t xml:space="preserve"> </w:t>
            </w:r>
          </w:p>
        </w:tc>
        <w:tc>
          <w:tcPr>
            <w:tcW w:w="30" w:type="dxa"/>
          </w:tcPr>
          <w:p w:rsidR="00DF294C" w:rsidRPr="00D75340" w:rsidRDefault="00DF294C">
            <w:pPr>
              <w:spacing w:after="0" w:line="240" w:lineRule="auto"/>
              <w:rPr>
                <w:rFonts w:ascii="Times New Roman" w:eastAsia="Times New Roman" w:hAnsi="Times New Roman"/>
                <w:sz w:val="20"/>
                <w:szCs w:val="20"/>
                <w:lang w:val="id-ID"/>
              </w:rPr>
            </w:pPr>
          </w:p>
        </w:tc>
        <w:tc>
          <w:tcPr>
            <w:tcW w:w="6093" w:type="dxa"/>
          </w:tcPr>
          <w:p w:rsidR="007B1971" w:rsidRPr="00D75340" w:rsidRDefault="007209FC" w:rsidP="007B1971">
            <w:pPr>
              <w:pStyle w:val="ListParagraph"/>
              <w:spacing w:line="240" w:lineRule="auto"/>
              <w:ind w:left="0"/>
              <w:jc w:val="both"/>
              <w:rPr>
                <w:rFonts w:ascii="Times New Roman" w:eastAsiaTheme="majorEastAsia" w:hAnsi="Times New Roman"/>
                <w:sz w:val="20"/>
                <w:szCs w:val="20"/>
                <w:lang w:val="id-ID"/>
              </w:rPr>
            </w:pPr>
            <w:r w:rsidRPr="00D75340">
              <w:rPr>
                <w:rFonts w:ascii="Times New Roman" w:hAnsi="Times New Roman"/>
                <w:sz w:val="20"/>
                <w:szCs w:val="20"/>
                <w:lang w:val="id-ID"/>
              </w:rPr>
              <w:t>Penelitian ini bertujuan untuk mendeskripsikan profil PCK calon guru matematika di Universitas Musamus yang berkeyakinan platonis. Penelitian ini merupakan penelitian deskriptif dengan metode yang di</w:t>
            </w:r>
            <w:r w:rsidR="007B1971" w:rsidRPr="00D75340">
              <w:rPr>
                <w:rFonts w:ascii="Times New Roman" w:hAnsi="Times New Roman"/>
                <w:sz w:val="20"/>
                <w:szCs w:val="20"/>
                <w:lang w:val="id-ID"/>
              </w:rPr>
              <w:t>gunakan yaitu metode kualitatif</w:t>
            </w:r>
            <w:r w:rsidRPr="00D75340">
              <w:rPr>
                <w:rFonts w:ascii="Times New Roman" w:hAnsi="Times New Roman"/>
                <w:sz w:val="20"/>
                <w:szCs w:val="20"/>
                <w:lang w:val="id-ID"/>
              </w:rPr>
              <w:t>. Subjek penelitian terdiri atas 2 mahasiswa calon guru matematika angkatan 2019 yang sedang melakukan kampus mengajar di SMP Negeri 8 Merauke. Data dikumpulkan menggunakan angket,</w:t>
            </w:r>
            <w:r w:rsidR="007B1971" w:rsidRPr="00D75340">
              <w:rPr>
                <w:rFonts w:ascii="Times New Roman" w:hAnsi="Times New Roman"/>
                <w:sz w:val="20"/>
                <w:szCs w:val="20"/>
                <w:lang w:val="id-ID"/>
              </w:rPr>
              <w:t xml:space="preserve"> observasi, tes, dan wawancara. Hasil penelitian ini menunjukkan bahwa: </w:t>
            </w:r>
            <w:r w:rsidR="004734C8" w:rsidRPr="00D75340">
              <w:rPr>
                <w:rFonts w:ascii="Times New Roman" w:hAnsi="Times New Roman"/>
                <w:sz w:val="20"/>
                <w:szCs w:val="20"/>
                <w:lang w:val="id-ID"/>
              </w:rPr>
              <w:t xml:space="preserve">                            </w:t>
            </w:r>
            <w:r w:rsidR="007B1971" w:rsidRPr="00D75340">
              <w:rPr>
                <w:rFonts w:ascii="Times New Roman" w:hAnsi="Times New Roman"/>
                <w:sz w:val="20"/>
                <w:szCs w:val="20"/>
                <w:lang w:val="id-ID"/>
              </w:rPr>
              <w:t xml:space="preserve">1) Kemampuan PCK calon guru matematika berkeyakinan platonis dengan IPK tinggi yaitu memiliki pengetahuan konseptual yang cukup dan pengetahuan prosedural yang baik pada materi himpunan, </w:t>
            </w:r>
            <w:r w:rsidR="007B1971" w:rsidRPr="00D75340">
              <w:rPr>
                <w:rFonts w:ascii="Times New Roman" w:eastAsiaTheme="majorEastAsia" w:hAnsi="Times New Roman"/>
                <w:sz w:val="20"/>
                <w:szCs w:val="20"/>
                <w:lang w:val="id-ID"/>
              </w:rPr>
              <w:t>mampu menyampaikan tujuan pembelajaran, mampu menerapkan dan memahami strategi pembelajaran, mampu menggunakan dan memahami representasi, mampu memilih contoh masalah dan tugas matematika sesuai dengan materi ajar dan tujuan, mampu memiliki keterampilan dalam mengajukan pertanyaan, mampu menemukan serta memahami kesulitan dan miskonsepsi siswa, dan mampu memberikan akomodasi dalam mengatasi kesulitan dan miskonsepsi siswa</w:t>
            </w:r>
            <w:r w:rsidR="007B1971" w:rsidRPr="00D75340">
              <w:rPr>
                <w:rFonts w:ascii="Times New Roman" w:hAnsi="Times New Roman"/>
                <w:sz w:val="20"/>
                <w:szCs w:val="20"/>
                <w:lang w:val="id-ID"/>
              </w:rPr>
              <w:t>;</w:t>
            </w:r>
            <w:r w:rsidR="004734C8" w:rsidRPr="00D75340">
              <w:rPr>
                <w:rFonts w:ascii="Times New Roman" w:hAnsi="Times New Roman"/>
                <w:color w:val="FF0000"/>
                <w:sz w:val="20"/>
                <w:szCs w:val="20"/>
                <w:lang w:val="id-ID"/>
              </w:rPr>
              <w:t xml:space="preserve"> </w:t>
            </w:r>
            <w:r w:rsidR="007B1971" w:rsidRPr="00D75340">
              <w:rPr>
                <w:rFonts w:ascii="Times New Roman" w:eastAsiaTheme="majorEastAsia" w:hAnsi="Times New Roman"/>
                <w:sz w:val="20"/>
                <w:szCs w:val="20"/>
                <w:lang w:val="id-ID"/>
              </w:rPr>
              <w:t xml:space="preserve">2) </w:t>
            </w:r>
            <w:r w:rsidR="007B1971" w:rsidRPr="00D75340">
              <w:rPr>
                <w:rFonts w:ascii="Times New Roman" w:hAnsi="Times New Roman"/>
                <w:sz w:val="20"/>
                <w:szCs w:val="20"/>
                <w:lang w:val="id-ID"/>
              </w:rPr>
              <w:t>Kemampuan PCK calon guru matematika berkeyakinan platonis dengan IPK sedang yaitu memiliki pengetahun konseptual yang kurang dan pengetahuan prosedural yang cukup pada materi himpunan</w:t>
            </w:r>
            <w:r w:rsidR="007B1971" w:rsidRPr="00D75340">
              <w:rPr>
                <w:rFonts w:ascii="Times New Roman" w:eastAsiaTheme="majorEastAsia" w:hAnsi="Times New Roman"/>
                <w:sz w:val="20"/>
                <w:szCs w:val="20"/>
                <w:lang w:val="id-ID"/>
              </w:rPr>
              <w:t>, mampu menerapkan dan memahami strategi pembelajaran, mampu menggunakan dan memahami representasi, mampu memilih contoh masalah dan tugas matematika sesuai dengan materi ajar, mampu memiliki keterampilan dalam mengajukan pertanyaan, mampu menemukan dan memahami kesulitan siswa, serta mampu memberikan akomodasi dalam mengatasi kesulitan siswa, akan tetapi ketika mengajar calon guru tidak menyampaikan tujuan pembelajaran, belum mampu menemukan dan memahami miskonsepsi siswa, dan tidak memberikan akomodasi dalam mengatasi miskonsepsi siswa. Temuan penelitian ini menunjukkan bahwa adanya perbedaan kemampuan akademik membuat PCK calon guru matematika berbeda, tetapi calon guru melakukan proses</w:t>
            </w:r>
            <w:r w:rsidR="007B1971" w:rsidRPr="00D75340">
              <w:rPr>
                <w:rFonts w:ascii="Times New Roman" w:eastAsiaTheme="majorEastAsia" w:hAnsi="Times New Roman"/>
                <w:color w:val="FF0000"/>
                <w:sz w:val="20"/>
                <w:szCs w:val="20"/>
                <w:lang w:val="id-ID"/>
              </w:rPr>
              <w:t xml:space="preserve"> </w:t>
            </w:r>
            <w:r w:rsidR="007B1971" w:rsidRPr="00D75340">
              <w:rPr>
                <w:rFonts w:ascii="Times New Roman" w:eastAsiaTheme="majorEastAsia" w:hAnsi="Times New Roman"/>
                <w:sz w:val="20"/>
                <w:szCs w:val="20"/>
                <w:lang w:val="id-ID"/>
              </w:rPr>
              <w:t xml:space="preserve">pembelajaran yang serupa dengan keyakinannya. Calon guru matematika yang berkeyakinan platonis memahami materi matematika sebagai pengetahuan yang tetap dan utuh, menerapkan pembelajaran yang berpusat pada guru agar </w:t>
            </w:r>
            <w:r w:rsidR="007B1971" w:rsidRPr="00D75340">
              <w:rPr>
                <w:rFonts w:ascii="Times New Roman" w:hAnsi="Times New Roman"/>
                <w:sz w:val="20"/>
                <w:szCs w:val="20"/>
                <w:lang w:val="id-ID"/>
              </w:rPr>
              <w:t>penyampaian materi fokus pada pemahaman</w:t>
            </w:r>
            <w:r w:rsidR="007B1971" w:rsidRPr="00D75340">
              <w:rPr>
                <w:rFonts w:ascii="Times New Roman" w:eastAsiaTheme="majorEastAsia" w:hAnsi="Times New Roman"/>
                <w:sz w:val="20"/>
                <w:szCs w:val="20"/>
                <w:lang w:val="id-ID"/>
              </w:rPr>
              <w:t xml:space="preserve">, dan </w:t>
            </w:r>
            <w:r w:rsidR="007B1971" w:rsidRPr="00D75340">
              <w:rPr>
                <w:rFonts w:ascii="Times New Roman" w:hAnsi="Times New Roman"/>
                <w:sz w:val="20"/>
                <w:szCs w:val="20"/>
                <w:lang w:val="id-ID"/>
              </w:rPr>
              <w:t xml:space="preserve">menerapkan aktivitas belajar yang didasarkan pada kegiatan membangun pemahaman, dan kegiatan mengkaji kembali pembelajaran. </w:t>
            </w:r>
          </w:p>
          <w:p w:rsidR="004734C8" w:rsidRPr="00D75340" w:rsidRDefault="004734C8" w:rsidP="004734C8">
            <w:pPr>
              <w:spacing w:line="240" w:lineRule="auto"/>
              <w:rPr>
                <w:rFonts w:ascii="Times New Roman" w:hAnsi="Times New Roman"/>
                <w:i/>
                <w:sz w:val="20"/>
                <w:szCs w:val="20"/>
                <w:lang w:val="id-ID"/>
              </w:rPr>
            </w:pPr>
            <w:r w:rsidRPr="00D75340">
              <w:rPr>
                <w:rFonts w:ascii="Times New Roman" w:eastAsiaTheme="majorEastAsia" w:hAnsi="Times New Roman"/>
                <w:b/>
                <w:sz w:val="20"/>
                <w:szCs w:val="20"/>
                <w:lang w:val="id-ID"/>
              </w:rPr>
              <w:t xml:space="preserve">Kata kunci: </w:t>
            </w:r>
            <w:r w:rsidRPr="00D75340">
              <w:rPr>
                <w:rFonts w:ascii="Times New Roman" w:hAnsi="Times New Roman"/>
                <w:i/>
                <w:sz w:val="20"/>
                <w:szCs w:val="20"/>
                <w:lang w:val="id-ID"/>
              </w:rPr>
              <w:t>Pedagogical Content Knowledge, Keyakinan Platonis.</w:t>
            </w:r>
          </w:p>
          <w:p w:rsidR="00DF294C" w:rsidRPr="00D75340" w:rsidRDefault="00DF294C">
            <w:pPr>
              <w:spacing w:after="0" w:line="240" w:lineRule="auto"/>
              <w:jc w:val="both"/>
              <w:rPr>
                <w:rFonts w:ascii="Times New Roman" w:eastAsia="Times New Roman" w:hAnsi="Times New Roman"/>
                <w:sz w:val="16"/>
                <w:szCs w:val="16"/>
                <w:lang w:val="id-ID"/>
              </w:rPr>
            </w:pPr>
          </w:p>
          <w:p w:rsidR="00DF294C" w:rsidRPr="00D75340" w:rsidRDefault="009A0A44">
            <w:pPr>
              <w:spacing w:after="0" w:line="240" w:lineRule="auto"/>
              <w:jc w:val="right"/>
              <w:rPr>
                <w:rFonts w:ascii="Times New Roman" w:eastAsia="Times New Roman" w:hAnsi="Times New Roman"/>
                <w:sz w:val="20"/>
                <w:szCs w:val="20"/>
                <w:lang w:val="id-ID"/>
              </w:rPr>
            </w:pPr>
            <w:hyperlink r:id="rId13">
              <w:r w:rsidR="00983431" w:rsidRPr="00D75340">
                <w:rPr>
                  <w:rFonts w:ascii="Times New Roman" w:eastAsia="Times New Roman" w:hAnsi="Times New Roman"/>
                  <w:color w:val="0000FF"/>
                  <w:sz w:val="16"/>
                  <w:szCs w:val="16"/>
                  <w:u w:val="single"/>
                  <w:lang w:val="id-ID"/>
                </w:rPr>
                <w:t>http://ejournal.radenintan.ac.id/index.php/al-jabar/index</w:t>
              </w:r>
            </w:hyperlink>
          </w:p>
        </w:tc>
      </w:tr>
    </w:tbl>
    <w:p w:rsidR="00DF294C" w:rsidRPr="00D75340" w:rsidRDefault="00DF294C">
      <w:pPr>
        <w:rPr>
          <w:sz w:val="20"/>
          <w:szCs w:val="20"/>
          <w:lang w:val="id-ID"/>
        </w:rPr>
      </w:pPr>
    </w:p>
    <w:tbl>
      <w:tblPr>
        <w:tblStyle w:val="a9"/>
        <w:tblW w:w="90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061"/>
      </w:tblGrid>
      <w:tr w:rsidR="00DF294C" w:rsidRPr="00D75340">
        <w:trPr>
          <w:trHeight w:val="20"/>
        </w:trPr>
        <w:tc>
          <w:tcPr>
            <w:tcW w:w="9061" w:type="dxa"/>
            <w:shd w:val="clear" w:color="auto" w:fill="00B050"/>
            <w:vAlign w:val="center"/>
          </w:tcPr>
          <w:p w:rsidR="00DF294C" w:rsidRPr="00D75340" w:rsidRDefault="004734C8" w:rsidP="004734C8">
            <w:pPr>
              <w:pBdr>
                <w:top w:val="nil"/>
                <w:left w:val="nil"/>
                <w:bottom w:val="nil"/>
                <w:right w:val="nil"/>
                <w:between w:val="nil"/>
              </w:pBdr>
              <w:spacing w:after="0"/>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lastRenderedPageBreak/>
              <w:t>Pendahuluan</w:t>
            </w:r>
          </w:p>
        </w:tc>
      </w:tr>
    </w:tbl>
    <w:p w:rsidR="004734C8" w:rsidRPr="00D75340" w:rsidRDefault="004734C8" w:rsidP="00E00C37">
      <w:pPr>
        <w:shd w:val="clear" w:color="auto" w:fill="FFFFFF"/>
        <w:spacing w:after="0"/>
        <w:ind w:firstLine="540"/>
        <w:jc w:val="both"/>
        <w:rPr>
          <w:rFonts w:ascii="Times New Roman" w:hAnsi="Times New Roman"/>
          <w:sz w:val="24"/>
          <w:szCs w:val="24"/>
          <w:lang w:val="id-ID"/>
        </w:rPr>
      </w:pPr>
      <w:r w:rsidRPr="00D75340">
        <w:rPr>
          <w:rFonts w:ascii="Times New Roman" w:hAnsi="Times New Roman"/>
          <w:sz w:val="24"/>
          <w:szCs w:val="24"/>
          <w:lang w:val="id-ID"/>
        </w:rPr>
        <w:t>Dalam proses pembelajaran, guru memegang peran penting untuk meningkatkan kualitas serta menentukan keberhasilan suatu pembelajaran. Guru merupakan profesi yang memerlukan keahlian khusus, sehingga guru perlu berperan secara aktif dan bersikap sebagai tenaga profesional guna tercapainya tujuan pembelajaran. Salah satu keahlian yang perlu dimiliki oleh guru yaitu mempunyai pengetahuan dalam mendidik dan mengajar siswa dengan baik, serta menguasai materi pelajaran yang akan diajarkan.</w:t>
      </w:r>
    </w:p>
    <w:p w:rsidR="004734C8" w:rsidRPr="00D75340" w:rsidRDefault="004734C8" w:rsidP="00E00C37">
      <w:pPr>
        <w:shd w:val="clear" w:color="auto" w:fill="FFFFFF"/>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Menurut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{"citationItems":[{"id":"ITEM-1","itemData":{"DOI":"10.33603/jnpm.v2i2.1291","ISSN":"2549-8495","abstract":"Penelitian ini bertujuan untuk melihat efektifitas instrument PCK yang digunakan untuk menganalisis kemampuan PCK calon guru matematika dan mengetahui perbedaan kemampuan PCK sebelum mengikuti program pengalaman lapangan dengan yang telah mengikuti program pengalaman lapangan. Penelitian ini menggunakan metodedeskriprif kualitatif, dimana mahasiswa tingkat 3G sebagai subjek penelitian.Hasil penelitian menunjukkan (1) kemampuan PCK calon guru matematika kelompok tinggi sudah baik sedangkan kelompok sedang dan rendah termasuk kategori cukup (2) Terdapat peerbedaan kemampuan PCK calon mahsiswa sebelum mengikuti program pengalaman lapangan dan yang telah mengikuti program pengalaman lapangan. Temuan tersebut dapat dijadikan dasar untuk melakukan penelitian mengenai strategi untuk mengembangkan kemampuan PCK calon guru matematika","author":[{"dropping-particle":"","family":"Aminah","given":"Neneng","non-dropping-particle":"","parse-names":false,"suffix":""},{"dropping-particle":"","family":"Wahyuni","given":"Ika","non-dropping-particle":"","parse-names":false,"suffix":""}],"container-title":"JNPM (Jurnal Nasional Pendidikan Matematika)","id":"ITEM-1","issue":"2","issued":{"date-parts":[["2018"]]},"page":"259","title":"Kemampuan Pedagogic Content Knowledge (PCK) Calon Guru Matematika Pada Program Pengalaman Lapangan di SMP/SMA Negeri Kota Cirebon","type":"article-journal","volume":"2"},"uris":["http://www.mendeley.com/documents/?uuid=441a5624-234a-4455-8c07-f1ab95ae793e"]}],"mendeley":{"formattedCitation":"(Aminah &amp; Wahyuni, 2018)","manualFormatting":"Aminah &amp; Wahyuni (2018)","plainTextFormattedCitation":"(Aminah &amp; Wahyuni, 2018)","previouslyFormattedCitation":"(Aminah &amp; Wahyuni, 2018)"},"properties":{"noteIndex":0},"schema":"https://github.com/citation-style-language/schema/raw/master/csl-citation.json"}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Aminah &amp; Wahyuni (2018)</w:t>
      </w:r>
      <w:r w:rsidRPr="00D75340">
        <w:rPr>
          <w:rFonts w:ascii="Times New Roman" w:hAnsi="Times New Roman"/>
          <w:sz w:val="24"/>
          <w:szCs w:val="24"/>
          <w:lang w:val="id-ID"/>
        </w:rPr>
        <w:fldChar w:fldCharType="end"/>
      </w:r>
      <w:r w:rsidRPr="00D75340">
        <w:rPr>
          <w:rFonts w:ascii="Times New Roman" w:hAnsi="Times New Roman"/>
          <w:sz w:val="24"/>
          <w:szCs w:val="24"/>
          <w:lang w:val="id-ID"/>
        </w:rPr>
        <w:t>, pengetahuan yang perlu dimiliki dan dipahami oleh guru secara bersamaan terdiri dari penguasaan terhadap pengetahuan pedagogis (</w:t>
      </w:r>
      <w:r w:rsidRPr="00D75340">
        <w:rPr>
          <w:rFonts w:ascii="Times New Roman" w:hAnsi="Times New Roman"/>
          <w:i/>
          <w:sz w:val="24"/>
          <w:szCs w:val="24"/>
          <w:lang w:val="id-ID"/>
        </w:rPr>
        <w:t>pedagogical knowledge</w:t>
      </w:r>
      <w:r w:rsidRPr="00D75340">
        <w:rPr>
          <w:rFonts w:ascii="Times New Roman" w:hAnsi="Times New Roman"/>
          <w:sz w:val="24"/>
          <w:szCs w:val="24"/>
          <w:lang w:val="id-ID"/>
        </w:rPr>
        <w:t>) dan pengetahuan konten (</w:t>
      </w:r>
      <w:r w:rsidRPr="00D75340">
        <w:rPr>
          <w:rFonts w:ascii="Times New Roman" w:hAnsi="Times New Roman"/>
          <w:i/>
          <w:sz w:val="24"/>
          <w:szCs w:val="24"/>
          <w:lang w:val="id-ID"/>
        </w:rPr>
        <w:t>content knowledge</w:t>
      </w:r>
      <w:r w:rsidRPr="00D75340">
        <w:rPr>
          <w:rFonts w:ascii="Times New Roman" w:hAnsi="Times New Roman"/>
          <w:sz w:val="24"/>
          <w:szCs w:val="24"/>
          <w:lang w:val="id-ID"/>
        </w:rPr>
        <w:t xml:space="preserve">). Pengetahuan pedagogis berkaitan dengan kompetensi pedagogis dan pengetahuan konten berkaitan dengan kompetensi profesional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{"citationItems":[{"id":"ITEM-1","itemData":{"DOI":"10.29100/jp2m.v1i2.200","ISSN":"2460-7800","abstract":"Pedagogical Content Knowledge (PCK), dikenalkan pertama kali oleh Lee Shulman pada tahun 1986. PCK terdiri dari 2 bagian besar yaitu Pedagogical Knowledge (Pengetahuan Pedagogis/kompetensi pedagogis) dan Content Knowledge (Pengetahua Konten/kompetensi profesional). Penelitian sebelumnya lebih banyak mengkaji tentang pengetahuan guru saja dan masih sedikit yang mengkaitkannya dengan praktik pembelajaran guru di kelas. Oleh karena itu penelitian ini akan menganalisis PCK yang dikaitkan dengan praktik pembelajaran di kelas yang disebut dengan Pedagogical Content Practice (PCP). Secara sederhana PCP didefinisikan dengan praktik mengajar guru yang disesuaikan dengan PCK-nya. Penelitian ini bertujuan untuk mendeskripsikan hubungan antara PCK dengan PCP guru. Pendekatan yang digunakan adalah kualitatif deskriptif. Partisipan penelitian ini adalah 3 guru (dengan variasi lama mengajar yang berbeda). Hasil dari penelitian ini secara umum adalah: (1) guru pertama menunjukkan PCK dan PCP yang cukup; (2) guru kedua menunjukkan PCK dan PCP yang baik; (3) sedangkan guru ketiga juga menunjukkan PCK dan PCP yang baik.","author":[{"dropping-particle":"","family":"Maryono","given":"","non-dropping-particle":"","parse-names":false,"suffix":""}],"container-title":"JP2M (Jurnal Pendidikan dan Pembelajaran Matematika)","id":"ITEM-1","issue":"2","issued":{"date-parts":[["2015"]]},"page":"58","title":"Analisis Pedagogical Content Knowledge (PCK) Guru Matematika dan Praktik Pembelajarannya","type":"article-journal","volume":"1"},"uris":["http://www.mendeley.com/documents/?uuid=c7946323-aa98-4c31-a102-ff771d0c5468"]}],"mendeley":{"formattedCitation":"(Maryono, 2015)","plainTextFormattedCitation":"(Maryono, 2015)","previouslyFormattedCitation":"(Maryono, 2015)"},"properties":{"noteIndex":0},"schema":"https://github.com/citation-style-language/schema/raw/master/csl-citation.json"}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2015)</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Oleh karena itu,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{"citationItems":[{"id":"ITEM-1","itemData":{"ISSN":"2615-7667","abstract":"Tujuan dari penelitian ini untuk mendeskripsikan Pedagogical Content Knowledge (PCK) mahasiswa perempuan calon guru Matematika terkait aspek– aspek PCK, baik pengetahuan materi, pengetahuan pedagogi dan pengetahuan tentang siswa pada pembelajaran materi Trigonometri di SMA. Penelitian ini merupakan penelitian kualitatif deskriptif. Subyek penelitian melibatkan dua orang mahasiswa perempuan calon guru Matematika yang melaksanakan kegiatan magang tiga di SMA Negeri 1 Palopo. Teknik pengumpulan data dilakukan dengan observasi proses pembelajaran di kelas dengan perekaman video menggunakan handycam. Data dianalisis dengan langkah-langkah yaitu: reduksi data, kategorisasi data, kesimpulan. Penelitian ini mengungkapkan bahwa mahasiswa calon guru dapat menjelaskan fakta, konsep dan aspek prosedural pada materi trigonometri begitupun&amp;nbsp; ada aspek pengorganisaian dan penerapan startegi pembelajaran dengan tingkatan yang berbeda antara kedua subjek. Temuan selanjutnya mahasiswa perempuan calon guru mengalami kesulitan mengidentifikasi sumber kesulitan pemahaman konsep siswa sekaligus tak mampu menemukan cara yang efektif mengatasi kesalahpahaman siswa. Hal ini menyebabkan kesulitan calon guru untuk mengatasi miskonsepsi siswa yang sering terjadi dengan prosedur dan aturan matematis yang tepat dan lebih fokus pada keterampilan menyelesaikan contoh soal daripada memperbaiki kesulitan pemahaman konsep dan mengatasi miskonsepsi yang sering muncul.","author":[{"dropping-particle":"","family":"Makaraka","given":"Awaluddin","non-dropping-particle":"","parse-names":false,"suffix":""},{"dropping-particle":"","family":"Ilyas","given":"Muhammad","non-dropping-particle":"","parse-names":false,"suffix":""},{"dropping-particle":"","family":"Cokroaminoto Palopo","given":"Universitas","non-dropping-particle":"","parse-names":false,"suffix":""}],"container-title":"Proximal: Jurnal Penelitian Matematika dan Pendidikan Matematika","id":"ITEM-1","issue":"2","issued":{"date-parts":[["2021"]]},"page":"56-63","title":"Analisis Pedagogical Content Knowledge (PCK) Mahasiswa Perempuan Calon Guru dalam Pembelajaran Matematika Ditinjau Dari Perbedaan Prestasi Akademik","type":"article-journal","volume":"4"},"uris":["http://www.mendeley.com/documents/?uuid=66c233f1-4c7c-41c4-8554-aca2f6055d25"]}],"mendeley":{"formattedCitation":"(Makaraka et al., 2021)","manualFormatting":"Makaraka et al (2021)","plainTextFormattedCitation":"(Makaraka et al., 2021)","previouslyFormattedCitation":"(Makaraka et al., 2021)"},"properties":{"noteIndex":0},"schema":"https://github.com/citation-style-language/schema/raw/master/csl-citation.json"}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Makaraka et al (2021)</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menegaskan bahwa dalam pembelajaran pengetahuan pedagogis dan konten perlu disatukan, sehingga membentuk pengetahuan baru yang disebut dengan </w:t>
      </w:r>
      <w:r w:rsidRPr="00D75340">
        <w:rPr>
          <w:rFonts w:ascii="Times New Roman" w:hAnsi="Times New Roman"/>
          <w:i/>
          <w:sz w:val="24"/>
          <w:szCs w:val="24"/>
          <w:lang w:val="id-ID"/>
        </w:rPr>
        <w:t xml:space="preserve">Pedagogical Content Knowledge </w:t>
      </w:r>
      <w:r w:rsidR="00E00C37" w:rsidRPr="00D75340">
        <w:rPr>
          <w:rFonts w:ascii="Times New Roman" w:hAnsi="Times New Roman"/>
          <w:sz w:val="24"/>
          <w:szCs w:val="24"/>
          <w:lang w:val="id-ID"/>
        </w:rPr>
        <w:t>(PCK).</w:t>
      </w:r>
    </w:p>
    <w:p w:rsidR="004734C8" w:rsidRPr="00D75340" w:rsidRDefault="004734C8" w:rsidP="00E00C37">
      <w:pPr>
        <w:shd w:val="clear" w:color="auto" w:fill="FFFFFF"/>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Pengetahuan PCK yang baik penting untuk semua pembelajaran, salah satunya yaitu pada pembelajaran matematika. Karena adanya hubungan dan pengaruh PCK terhadap prestasi belajar siswa, maka kualitas guru matematika masih memerlukan peningkatan khususnya dalam sudut pandang PCK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{"citationItems":[{"id":"ITEM-1","itemData":{"author":[{"dropping-particle":"","family":"Barut","given":"Maria Evarista Oktaviane","non-dropping-particle":"","parse-names":false,"suffix":""},{"dropping-particle":"","family":"Wijaya","given":"Ariyadi","non-dropping-particle":"","parse-names":false,"suffix":""},{"dropping-particle":"","family":"Retnawati","given":"Heri","non-dropping-particle":"","parse-names":false,"suffix":""}],"container-title":"PYTHAGORAS: Jurnal Pendidikan Matematika","id":"ITEM-1","issue":"2","issued":{"date-parts":[["2020"]]},"page":"178-189","title":"Hubungan Pedagogical Content Knowledge Guru Matematika dan Prestasi Belajar Siswa Sekolah Menengah Pertama","type":"article-journal","volume":"15"},"uris":["http://www.mendeley.com/documents/?uuid=b8697e0d-6563-4021-a77b-4837ad4bb0e2"]}],"mendeley":{"formattedCitation":"(Barut et al., 2020)","plainTextFormattedCitation":"(Barut et al., 2020)","previouslyFormattedCitation":"(Barut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(Barut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Menurut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{"citationItems":[{"id":"ITEM-1","itemData":{"author":[{"dropping-particle":"","family":"Santosa","given":"Muh. Gilang Wahyu","non-dropping-particle":"","parse-names":false,"suffix":""},{"dropping-particle":"","family":"Kusumaningsih","given":"Widya","non-dropping-particle":"","parse-names":false,"suffix":""},{"dropping-particle":"","family":"Endahwuri","given":"Dhian","non-dropping-particle":"","parse-names":false,"suffix":""}],"container-title":"Imajiner: Jurnal Matematika dan Pendidikan Matematika","id":"ITEM-1","issue":"5","issued":{"date-parts":[["2019"]]},"page":"185-189","title":"Profil Pedagogical Content Knowledge ( PCK ) Calon Guru Matematika Dalam Kesiapan Mengajar","type":"article-journal","volume":"1"},"uris":["http://www.mendeley.com/documents/?uuid=85e22203-7c3e-44e3-a890-355ce1227dbf"]}],"mendeley":{"formattedCitation":"(Santosa et al., 2019)","manualFormatting":"Santosa et al (2019)","plainTextFormattedCitation":"(Santosa et al., 2019)","previouslyFormattedCitation":"(Santosa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Santosa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PCK dalam pembelajaran matematika merupakan suatu pemikiran yang memuat pemahaman bahwa ketika mengajar matematika yang diperlukan tidak hanya menguasai isi dari materi pelajaran melainkan juga cara untuk mengajarkannya. </w:t>
      </w:r>
    </w:p>
    <w:p w:rsidR="004734C8" w:rsidRPr="00D75340" w:rsidRDefault="004734C8" w:rsidP="00E00C37">
      <w:pPr>
        <w:shd w:val="clear" w:color="auto" w:fill="FFFFFF"/>
        <w:tabs>
          <w:tab w:val="left" w:pos="720"/>
        </w:tabs>
        <w:spacing w:after="0"/>
        <w:jc w:val="both"/>
        <w:rPr>
          <w:rFonts w:ascii="Times New Roman" w:hAnsi="Times New Roman"/>
          <w:sz w:val="24"/>
          <w:szCs w:val="24"/>
          <w:lang w:val="id-ID"/>
        </w:rPr>
      </w:pPr>
      <w:r w:rsidRPr="00D75340">
        <w:rPr>
          <w:rFonts w:ascii="Times New Roman" w:hAnsi="Times New Roman"/>
          <w:sz w:val="24"/>
          <w:szCs w:val="24"/>
          <w:lang w:val="id-ID"/>
        </w:rPr>
        <w:tab/>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{"citationItems":[{"id":"ITEM-1","itemData":{"author":[{"dropping-particle":"","family":"Santosa","given":"Muh. Gilang Wahyu","non-dropping-particle":"","parse-names":false,"suffix":""},{"dropping-particle":"","family":"Kusumaningsih","given":"Widya","non-dropping-particle":"","parse-names":false,"suffix":""},{"dropping-particle":"","family":"Endahwuri","given":"Dhian","non-dropping-particle":"","parse-names":false,"suffix":""}],"container-title":"Imajiner: Jurnal Matematika dan Pendidikan Matematika","id":"ITEM-1","issue":"5","issued":{"date-parts":[["2019"]]},"page":"185-189","title":"Profil Pedagogical Content Knowledge ( PCK ) Calon Guru Matematika Dalam Kesiapan Mengajar","type":"article-journal","volume":"1"},"uris":["http://www.mendeley.com/documents/?uuid=85e22203-7c3e-44e3-a890-355ce1227dbf"]}],"mendeley":{"formattedCitation":"(Santosa et al., 2019)","manualFormatting":"Santosa et al (2019)","plainTextFormattedCitation":"(Santosa et al., 2019)","previouslyFormattedCitation":"(Santosa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Santosa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juga menegaskan bahwa dengan memperkaya PCK yang dibangun berdasarkan pengalaman dapat meningkatkan profesionalisme calon guru. Oleh karena itu, mempersiapkan mahasiswa calon guru matematika dengan pengalaman PCK yang baik menjadi salah satu strategi untuk membantu menghasilkan guru matematika yang profesional. Calon guru harus dibekali dengan kemampuan pengetahuan pedagogis dan pengetahuan konten yang baik agar terlatih memiliki kemampuan PCK yang memadai.</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Calon guru kerap memiliki pemahaman yang terpisah serta tidak beraturan, sehingga menyebabkan kesulitan saat menyampaikan pengetahuan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{"citationItems":[{"id":"ITEM-1","itemData":{"author":[{"dropping-particle":"","family":"Santosa","given":"Muh. Gilang Wahyu","non-dropping-particle":"","parse-names":false,"suffix":""},{"dropping-particle":"","family":"Kusumaningsih","given":"Widya","non-dropping-particle":"","parse-names":false,"suffix":""},{"dropping-particle":"","family":"Endahwuri","given":"Dhian","non-dropping-particle":"","parse-names":false,"suffix":""}],"container-title":"Imajiner: Jurnal Matematika dan Pendidikan Matematika","id":"ITEM-1","issue":"5","issued":{"date-parts":[["2019"]]},"page":"185-189","title":"Profil Pedagogical Content Knowledge ( PCK ) Calon Guru Matematika Dalam Kesiapan Mengajar","type":"article-journal","volume":"1"},"uris":["http://www.mendeley.com/documents/?uuid=85e22203-7c3e-44e3-a890-355ce1227dbf"]}],"mendeley":{"formattedCitation":"(Santosa et al., 2019)","plainTextFormattedCitation":"(Santosa et al., 2019)","previouslyFormattedCitation":"(Santosa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(Santosa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Hasil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Dassa","given":"Awi","non-dropping-particle":"","parse-names":false,"suffix":""},{"dropping-particle":"","family":"Arwadi","given":"Fajar","non-dropping-particle":"","parse-names":false,"suffix":""},{"dropping-particle":"","family":"Faradiyah","given":"Andi Rafiqa","non-dropping-particle":"","parse-names":false,"suffix":""}],"container-title":"Issues in Mathematics Education","id":"ITEM-1","issue":"2","issued":{"date-parts":[["2020"]]},"page":"208-216","title":"Deskripsi Pengetahuan Konten Pedagogi Mahasiswa Calon Guru Jurusan Matematika FMIPA UNM","type":"article-journal","volume":"4"},"uris":["http://www.mendeley.com/documents/?uuid=e47b3adf-8cee-4897-ac92-ec9fe190dcd2"]}],"mendeley":{"formattedCitation":"(Dassa et al., 2020)","manualFormatting":"Dassa et al (2020)","plainTextFormattedCitation":"(Dassa et al., 2020)","previouslyFormattedCitation":"(Dassa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Dassa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menyebutkan bahwa pengetahuan pada materi matematika, dan pengetahuan pedagogis calon guru belum memadai, yaitu rangkaian dari rumus yang akan digunakan belum bisa disebutkan, serta akan menjelaskan ulang materi pelajaran ketika diminta  untuk membenahi kesalahpahaman dengan tidak mempertimbangkan kemungkinan terjadinya kesalahpahaman yang lain.</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Jurusan Pendidikan Matematika di Universitas Musamus Merauke telah berupaya dalam menyiapkan mahasiswa calon guru untuk menjadi tenaga pendidik yang profesional, upaya yang dilakukan salah satunya yaitu pada proses pembelajaran. Dalam proses pembelajaran, jurusan Pendidikan Matematika menyediakan mata kuliah seperti metode pembelajaran matematika, strategi belajar mengajar matematika, profesi keguruan, program perencanaan pembelajaran matematika, evaluasi hasil belajar matematika, </w:t>
      </w:r>
      <w:r w:rsidRPr="00D75340">
        <w:rPr>
          <w:rFonts w:ascii="Times New Roman" w:hAnsi="Times New Roman"/>
          <w:i/>
          <w:iCs/>
          <w:sz w:val="24"/>
          <w:szCs w:val="24"/>
          <w:lang w:val="id-ID"/>
        </w:rPr>
        <w:t>microteaching</w:t>
      </w:r>
      <w:r w:rsidRPr="00D75340">
        <w:rPr>
          <w:rFonts w:ascii="Times New Roman" w:hAnsi="Times New Roman"/>
          <w:sz w:val="24"/>
          <w:szCs w:val="24"/>
          <w:lang w:val="id-ID"/>
        </w:rPr>
        <w:t xml:space="preserve">, dan praktik pengalaman lapangan (PPL). Adanya perkuliahan tersebut diharapkan mampu memberikan </w:t>
      </w:r>
      <w:r w:rsidRPr="00D75340">
        <w:rPr>
          <w:rFonts w:ascii="Times New Roman" w:hAnsi="Times New Roman"/>
          <w:sz w:val="24"/>
          <w:szCs w:val="24"/>
          <w:lang w:val="id-ID"/>
        </w:rPr>
        <w:lastRenderedPageBreak/>
        <w:t>bekal pada calon guru untuk merancang dan melaksanakan pembelajaran matematika yang efektif.</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Berdasarkan hasil wawancara yang dilakukan kepada dua mahasiswa calon guru Jurusan Pendidikan Matematika yang sedang mengikuti kampus mengajar di SMP Negeri 8 Merauke, diperoleh informasi bahwa sebelum melakukan kegiatan pembelajaran di kelas calon guru harus mempersiapkan diri serta materi yang akan disampaikan. Calon guru akan terlebih dahulu mempelajari materi yang akan diajarkan agar lebih menguasai dan bisa menentukan metode yang dianggap sesuai untuk menyampaikan materi tersebut. Namun sebaliknya, jika sebelumnya tidak dilakukan persiapan, maka calon guru mengalami kesulitan dengan materi yang diajarkan sehingga kegiatan pembelajaran tidak terlaksana dengan maksimal yang dapat berdampak pada pemahaman siswa. Hal tersebut yang menjadi kendala bagi calon guru ketika secara tiba-tiba diminta untuk mengajar di kelas. Oleh karena itu, PCK calon guru matematika perlu untuk diteliti guna mendapatkan informasi sekaligus menjadi gambaran awal mengenai kemampuan PCK dari calon guru matematika.</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mengatakan, kemampuan PCK dari calon guru matematika dapat dipengaruhi oleh kemampuan akademiknya yang dilihat dari Indeks Prestasi Belajar (IPK). Dengan kemampuan tersebut, diharapkan calon guru dapat menguasai ilmu pengetahuan dari materi perkuliahan agar menjadi lebih terampil, sehingga secara teoritis memiliki pengetahuan terhadap profesi guru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{"citationItems":[{"id":"ITEM-1","itemData":{"abstract":"Abstrak. Penelitian ini adalah penelitian eksploratif dengan pendekatan kualitatif yang bertujuan untuk mendeskripsikan profil Pedagogical Content Knowledge (PCK) mahasiswa laki-laki calon guru berdasarkan kemampuan akademik, yaitu berkemampuan akademik tinggi dan sedang. Instrumen dalam penelitian ini adalah peneliti sendiri sebagai instrumen utama yang dibantu dengan lembar observasi pembelajaran sebagai instrumen pendukung. Subjek penelitian terdiri dari dua orang mahasiswa pendidikan matematika semester VI tahun 2018/2019 yang terdiri dari 1 subjek berkemampuan akademik tinggi dan 1 subjek berkemampuan akademik sedang. Pengumpulan data dilakukan dengan pengamatan pembelajaran secara mendalam dan detal sesuai aspek PCK. Tahapan analisis data yaitu kategorisasi data, reduksi data, interpretasi data, penyajian data, dan penarikan kesimpulan. Hasil penelitian menunjukkan bahwa 1) aspek pengetahuan materi, subjek tinggi memiliki kemampuan merefresentasikan masalah melalui gambar (visual), sedangkan subjek berkemampuan akademik sedang hanya menjelaskan masalah secara verbal. 2) aspek pedagogik, dalam hal membangun motivasi, subjek berkemampuan akademik sedang tidak melakukan sesuatu yang berbeda seperti halnya yang dilakukan oleh subjek tinggi yakni menggunakan media film sebagai pengantar dalam pembelajaran. 3) aspek pengetahuan siswa, subjek berkemampuan akademik tinggi dan sedang, mengatasi miskonsepsi siswa dengan cara menjelaskan prosedur, namun hal ini nampak berbeda dengan cara yang dilakukan oleh subjek tinggi. Selain menjelaskan prosedur, subjek tinggi juga selalu mendorong siswa untuk memaparkan alasan dari setiap prosedur yang mereka tunjukkan.","author":[{"dropping-particle":"","family":"Sarwah","given":"","non-dropping-particle":"","parse-names":false,"suffix":""},{"dropping-particle":"","family":"Ma'rufi","given":"","non-dropping-particle":"","parse-names":false,"suffix":""},{"dropping-particle":"","family":"Ilyas","given":"Muhammad","non-dropping-particle":"","parse-names":false,"suffix":""}],"container-title":"JURNAL PENELITIAN MATEMATIKA DAN PENDIDIKAN MATEMATIKA","id":"ITEM-1","issue":"2","issued":{"date-parts":[["2019"]]},"page":"98-108","title":"Pedagogik Content Knowledge Mahasiswa Laki-Laki Calon Guru Dalam Pembelajaran Matematika SMA Ditinjau Dari Kemampuan","type":"article-journal","volume":"2"},"uris":["http://www.mendeley.com/documents/?uuid=31e6e819-2615-4dd0-9ace-b547a2831ba9"]}],"mendeley":{"formattedCitation":"(Sarwah et al., 2019)","plainTextFormattedCitation":"(Sarwah et al., 2019)","previouslyFormattedCitation":"(Sarwah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(Sarwah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Selain dari kemampuan akademik, faktor lain yang dianggap dapat berpengaruh pada kemampuan PCK calon guru matematika yaitu keyakinan</w:t>
      </w:r>
      <w:r w:rsidRPr="00D75340">
        <w:rPr>
          <w:rFonts w:ascii="Times New Roman" w:eastAsia="Times New Roman" w:hAnsi="Times New Roman"/>
          <w:color w:val="000000"/>
          <w:sz w:val="24"/>
          <w:szCs w:val="24"/>
          <w:lang w:val="id-ID"/>
        </w:rPr>
        <w:t xml:space="preserve">. </w:t>
      </w:r>
      <w:r w:rsidRPr="00D75340">
        <w:rPr>
          <w:rFonts w:ascii="Times New Roman" w:hAnsi="Times New Roman"/>
          <w:sz w:val="24"/>
          <w:szCs w:val="24"/>
          <w:lang w:val="id-ID"/>
        </w:rPr>
        <w:t xml:space="preserve">Karena keyakinan calon guru sangat penting untuk mengingkatkan kualitas pembelajaran ketika mereka menjadi guru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{"citationItems":[{"id":"ITEM-1","itemData":{"DOI":"10.1088/1742-6596/1806/1/012111","ISSN":"17426596","abstract":"A quantitative study aims to investigate preservice teacher's beliefs in mathematics and mathematics teaching and learning. The participants were 103 preservice mathematics teachers who were studying at the Musamus University of Merauke. The TBTP questionnaire was used to measure the beliefs of preservice teachers. The results showed that there were differences in the beliefs of preservice teachers when teaching in classes dominated by high ability students and low ability students. Preservice teachers tend to have platonist beliefs when teaching in high ability classes and when teaching in low ability classes preservice teachers have instrumentalist beliefs. Most preservice teachers have instrumentalist beliefs in mathematics. The implications of the study provide recommendations for teacher educators to change the beliefs of preservice mathematics teachers into problem-solving views.","author":[{"dropping-particle":"","family":"Pagiling","given":"S. L.","non-dropping-particle":"","parse-names":false,"suffix":""},{"dropping-particle":"","family":"Palobo","given":"M.","non-dropping-particle":"","parse-names":false,"suffix":""},{"dropping-particle":"","family":"Mayasari","given":"D.","non-dropping-particle":"","parse-names":false,"suffix":""}],"container-title":"Journal of Physics: Conference Series","id":"ITEM-1","issue":"1","issued":{"date-parts":[["2021"]]},"page":"1-5","title":"Preservice teacher belief on nature of mathematics and mathematics teaching and tearning: A quantitative study","type":"article-journal","volume":"1806"},"uris":["http://www.mendeley.com/documents/?uuid=a09b80b2-02b3-4189-a53c-3c09a486f2ee"]}],"mendeley":{"formattedCitation":"(Pagiling et al., 2021)","plainTextFormattedCitation":"(Pagiling et al., 2021)","previouslyFormattedCitation":"(Pagiling et al., 2021)"},"properties":{"noteIndex":0},"schema":"https://github.com/citation-style-language/schema/raw/master/csl-citation.json"}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(Pagiling et al., 2021)</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Keyakinan matematika juga berdampak pada apa yang diajarkan, </w:t>
      </w:r>
      <w:r w:rsidRPr="00D75340">
        <w:rPr>
          <w:rFonts w:ascii="Times New Roman" w:hAnsi="Times New Roman"/>
          <w:bCs/>
          <w:sz w:val="24"/>
          <w:szCs w:val="24"/>
          <w:lang w:val="id-ID"/>
        </w:rPr>
        <w:t xml:space="preserve">bagaimana cara pengajarannya, serta apa yang perlu dipelajari </w:t>
      </w:r>
      <w:r w:rsidRPr="00D75340">
        <w:rPr>
          <w:rFonts w:ascii="Times New Roman" w:hAnsi="Times New Roman"/>
          <w:bCs/>
          <w:sz w:val="24"/>
          <w:szCs w:val="24"/>
          <w:lang w:val="id-ID"/>
        </w:rPr>
        <w:fldChar w:fldCharType="begin" w:fldLock="1"/>
      </w:r>
      <w:r w:rsidRPr="00D75340">
        <w:rPr>
          <w:rFonts w:ascii="Times New Roman" w:hAnsi="Times New Roman"/>
          <w:bCs/>
          <w:sz w:val="24"/>
          <w:szCs w:val="24"/>
          <w:lang w:val="id-ID"/>
        </w:rPr>
        <w:instrText>ADDIN CSL_CITATION {"citationItems":[{"id":"ITEM-1","itemData":{"ISBN":"1742-6596","abstract":"Weaknesses on problem solving of Indonesian students as reported by recent international surveys give rise to questions on how Indonesian teachers bring out idea of problem solving in mathematics lesson. An explorative study was undertaken to investigate how secondary teachers who teach mathematics at junior high school level understand and show belief toward mathematical problem solving. Participants were teachers from four cities in East Java province comprising 45 state teachers and 25 private teachers. Data was obtained through questionnaires and written test. The results of this study point out that the teachers understand pedagogical problem solving knowledge well as indicated by high score of observed teachers‘ responses showing understanding on problem solving as instruction as well as implementation of problem solving in teaching practice. However, they less understand on problem solving content knowledge such as problem solving strategies and meaning of problem itself. Regarding teacher’s difficulties, teachers admitted to most frequently fail in (1) determining a precise mathematical model or strategies when carrying out problem solving steps which is supported by data of test result that revealed transformation error as the most frequently observed errors in teachers’ work and (2) choosing suitable real situation when designing context-based problem solving task. Meanwhile, analysis of teacher’s beliefs on problem solving shows that teachers tend to view both mathematics and how students should learn mathematics as body static perspective, while they tend to believe to apply idea of problem solving as dynamic approach when teaching mathematics","author":[{"dropping-particle":"","family":"Siswono","given":"Tatag Yuli Eko","non-dropping-particle":"","parse-names":false,"suffix":""},{"dropping-particle":"","family":"Kohar","given":"Ahmad Wachidul","non-dropping-particle":"","parse-names":false,"suffix":""},{"dropping-particle":"","family":"Kurniasari","given":"Ika","non-dropping-particle":"","parse-names":false,"suffix":""},{"dropping-particle":"","family":"Astuti","given":"Yuliani Puji","non-dropping-particle":"","parse-names":false,"suffix":""}],"container-title":"Journal of Physics: Conference Series","id":"ITEM-1","issue":"1","issued":{"date-parts":[["2016"]]},"page":"1-19","publisher":"IOP Publishing","title":"An investigation of Secondary Teachers’ Understanding and Belief on Mathematical Problem Solving","type":"paper-conference","volume":"693"},"uris":["http://www.mendeley.com/documents/?uuid=98ef2781-897d-46e3-8084-fe1bb7883ade"]}],"mendeley":{"formattedCitation":"(Tatag Yuli Eko Siswono, Kohar, Kurniasari, et al., 2016)","manualFormatting":"(Siswono et al., 2016)","plainTextFormattedCitation":"(Tatag Yuli Eko Siswono, Kohar, Kurniasari, et al., 2016)","previouslyFormattedCitation":"(Tatag Yuli Eko Siswono, Kohar, Kurniasari, et al., 2016)"},"properties":{"noteIndex":0},"schema":"https://github.com/citation-style-language/schema/raw/master/csl-citation.json"}</w:instrText>
      </w:r>
      <w:r w:rsidRPr="00D75340">
        <w:rPr>
          <w:rFonts w:ascii="Times New Roman" w:hAnsi="Times New Roman"/>
          <w:bCs/>
          <w:sz w:val="24"/>
          <w:szCs w:val="24"/>
          <w:lang w:val="id-ID"/>
        </w:rPr>
        <w:fldChar w:fldCharType="separate"/>
      </w:r>
      <w:r w:rsidRPr="00D75340">
        <w:rPr>
          <w:rFonts w:ascii="Times New Roman" w:hAnsi="Times New Roman"/>
          <w:bCs/>
          <w:noProof/>
          <w:sz w:val="24"/>
          <w:szCs w:val="24"/>
          <w:lang w:val="id-ID"/>
        </w:rPr>
        <w:t>(Siswono et al., 2016)</w:t>
      </w:r>
      <w:r w:rsidRPr="00D75340">
        <w:rPr>
          <w:rFonts w:ascii="Times New Roman" w:hAnsi="Times New Roman"/>
          <w:bCs/>
          <w:sz w:val="24"/>
          <w:szCs w:val="24"/>
          <w:lang w:val="id-ID"/>
        </w:rPr>
        <w:fldChar w:fldCharType="end"/>
      </w:r>
      <w:r w:rsidRPr="00D75340">
        <w:rPr>
          <w:rFonts w:ascii="Times New Roman" w:hAnsi="Times New Roman"/>
          <w:bCs/>
          <w:sz w:val="24"/>
          <w:szCs w:val="24"/>
          <w:lang w:val="id-ID"/>
        </w:rPr>
        <w:t xml:space="preserve">. </w:t>
      </w:r>
      <w:r w:rsidRPr="00D75340">
        <w:rPr>
          <w:rFonts w:ascii="Times New Roman" w:hAnsi="Times New Roman"/>
          <w:sz w:val="24"/>
          <w:szCs w:val="24"/>
          <w:lang w:val="id-ID"/>
        </w:rPr>
        <w:t xml:space="preserve">Hal tersebut didukung oleh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{"citationItems":[{"id":"ITEM-1","itemData":{"DOI":"10.22342/jme.10.2.7326.185-202","ISSN":"24070610","abstract":"Beliefs and pedagogical content knowledge (PCK) are two factors influencing teaching practice in the classroom. This research aims to describe the beliefs and PCK of the prospective mathematics teachers and the relationship between the two factors on the teaching practices in the mathematics classroom. Participant in this research includes a prospective teacher who has taken a micro teaching subject and has good communication skill. Data were collected through interview and video analysis on the teaching practice in the classroom. The data obtained were coded, simplified, presented, and triangulated for the credibility and concluded. The result of the research shows that the prospective teachers who hold a constructivist belief view mathematics as a dynamic knowledge which evolves and is regarded as the space of creation for humans. Their beliefs on the nature of mathematics support the belief in the teaching-learning process in mathematics classrooms. Furthermore, a good understanding of the prospective teachers have on the components of the PCK has been sufficient, which can be identified in every step of practical activities in the classroom. More elaboration on the relationship between the belief and PCK is presented in this research.","author":[{"dropping-particle":"","family":"Muhtarom","given":"","non-dropping-particle":"","parse-names":false,"suffix":""},{"dropping-particle":"","family":"Juniati","given":"Dwi","non-dropping-particle":"","parse-names":false,"suffix":""},{"dropping-particle":"","family":"Siswono","given":"Tatag Yuli Eko","non-dropping-particle":"","parse-names":false,"suffix":""}],"container-title":"Journal on Mathematics Education","id":"ITEM-1","issue":"2","issued":{"date-parts":[["2019"]]},"page":"185-202","title":"Examining Prospective Teachers’ Belief and Pedagogical Content Knowledge Towards Teaching Practice in Mathematics Class: A Case Study","type":"article-journal","volume":"10"},"uris":["http://www.mendeley.com/documents/?uuid=116bdf47-9425-46ca-9fa5-0b1caab97f9e"]}],"mendeley":{"formattedCitation":"(Muhtarom et al., 2019)","manualFormatting":"Muhtarom et al (2019)","plainTextFormattedCitation":"(Muhtarom et al., 2019)","previouslyFormattedCitation":"(Muhtarom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mengatakan</w:t>
      </w:r>
      <w:r w:rsidRPr="00D75340">
        <w:rPr>
          <w:rFonts w:ascii="Times New Roman" w:hAnsi="Times New Roman"/>
          <w:spacing w:val="1"/>
          <w:sz w:val="24"/>
          <w:szCs w:val="24"/>
          <w:lang w:val="id-ID"/>
        </w:rPr>
        <w:t xml:space="preserve"> a</w:t>
      </w:r>
      <w:r w:rsidRPr="00D75340">
        <w:rPr>
          <w:rFonts w:ascii="Times New Roman" w:hAnsi="Times New Roman"/>
          <w:sz w:val="24"/>
          <w:szCs w:val="24"/>
          <w:lang w:val="id-ID"/>
        </w:rPr>
        <w:t xml:space="preserve">danya peran </w:t>
      </w:r>
      <w:r w:rsidRPr="00D75340">
        <w:rPr>
          <w:rFonts w:ascii="Times New Roman" w:eastAsia="Times New Roman" w:hAnsi="Times New Roman"/>
          <w:color w:val="000000"/>
          <w:sz w:val="24"/>
          <w:szCs w:val="24"/>
          <w:lang w:val="id-ID"/>
        </w:rPr>
        <w:t>penting antara PCK dan keyakinan matematika sebagai faktor yang memengaruhi proses belajar mengajar.</w:t>
      </w:r>
      <w:r w:rsidRPr="00D75340">
        <w:rPr>
          <w:rFonts w:ascii="Times New Roman" w:hAnsi="Times New Roman"/>
          <w:sz w:val="24"/>
          <w:szCs w:val="24"/>
          <w:lang w:val="id-ID"/>
        </w:rPr>
        <w:t xml:space="preserve"> Apa yang diyakini oleh calon guru bagi dirinya dapat menjadi nilai tersendiri sehingga bisa diterapkan dalam kegiatan pembelajaran matematika. </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{"citationItems":[{"id":"ITEM-1","itemData":{"author":[{"dropping-particle":"","family":"Uraini","given":"Febria Saufi","non-dropping-particle":"","parse-names":false,"suffix":""}],"id":"ITEM-1","issued":{"date-parts":[["2019"]]},"publisher":"IAIN Tulungagung","title":"Keyakinan Matematis Dalam Pembelajaran Matematika Pada Materi Persamaan dan Pertidaksamaan Nilai Mutlak Linear Satu Variabel Kelas X DI SMA Ma’arif NU Pandaan Pasuruan Tahun Ajaran 2018/2019","type":"article"},"uris":["http://www.mendeley.com/documents/?uuid=301fec37-ca1f-4c22-a31a-b7ac13340968"]}],"mendeley":{"formattedCitation":"(Uraini, 2019)","manualFormatting":"Uraini (2019)","plainTextFormattedCitation":"(Uraini, 2019)","previouslyFormattedCitation":"(Uraini,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Uraini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menjelaskan, yang dimaksud dengan keyakinan matematika adalah sikap dari dalam diri seseorang mengenai apa yang pernah dipelajari dalam matematika, kegunaan matematika, dan pemecahan setiap masalah yang berkaitan dengan matematika. Dalam keyakinan matematika terdapat tiga dimensi yaitu keyakinan pada sifat matematika, pengajaran matematika, dan pembelajaran matematika. Selain dimensi ada pula tiga tipe keyakinan matematika yang dapat membedakan keyakinan matematika seseorang yaitu instrumentalis, platonis, dan konstruktivis. </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Penelitian mengenai PCK calon guru matematika telah cukup banyak dilakukan oleh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{"citationItems":[{"id":"ITEM-1","itemData":{"DOI":"10.25217/numerical.v3i2.616","ISSN":"2580-3573","abstract":"Pedagogical Content Knowledge (PCK) is one of the basic knowledge that pre -services teachers must-have. PCK explained how the teacher linked material knowledge with knowledge about teaching. By mastering PCK pre-services teachers are expected to carry out effective learning. The purpose of this study is to describe the ability of pre-service mathematics teacher PCK. This type of research is descriptive qualitative. The subjects of this study were two pre-service teachers for the Mathematics Education Department at the Universitas Sarjanawiyata Tamansiswa. The instruments used were observation sheets, questionnaire sheets, linear program test questions, and interview guidelines. The data analysis technique of this study used descriptive qualitative analysis techniques. The results showed that based on indicators of PCK ability, pre-service teachers already knew and understood core competencies, basic competencies, and learning indicators and could make learning objectives, learning materials, reference sources, approaches, strategies, methods, and mathematical learning models. In addition, pre-service teachers can also make assessment plans, both the affective, cognitive, and psychomotor domains as well as the remedial and enrichment programs. Pre-service teachers are quite flexible and confident in teaching even though there are pre-service teachers who speak in small voices and the intonation has not varied. When viewed from the material side, the material provided by pre-service teachers to students is good even though there are still a few shortcomings. In general, pre-service teachers have a good understanding of content and pedagogical knowledge in theory, but implementation in planning and learning in class is still lacking","author":[{"dropping-particle":"","family":"Ayuningtyas","given":"Annis Deshinta","non-dropping-particle":"","parse-names":false,"suffix":""},{"dropping-particle":"","family":"Apriandi","given":"Davi","non-dropping-particle":"","parse-names":false,"suffix":""}],"container-title":"NUMERICAL: Jurnal Matematika dan Pendidikan Matematika","id":"ITEM-1","issued":{"date-parts":[["2020"]]},"page":"119-130","title":"Pedagogical Content Knowledge (PCK) pada Mahasiswa Calon Guru Matematika","type":"article-journal","volume":"3"},"uris":["http://www.mendeley.com/documents/?uuid=4f38a706-20cf-4219-8475-336139efb7fb"]}],"mendeley":{"formattedCitation":"(Ayuningtyas &amp; Apriandi, 2020)","manualFormatting":"Ayuningtyas &amp; Apriandi, 2020","plainTextFormattedCitation":"(Ayuningtyas &amp; Apriandi, 2020)","previouslyFormattedCitation":"(Ayuningtyas &amp; Apriandi,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Ayuningtyas &amp; Apriandi,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{"citationItems":[{"id":"ITEM-1","itemData":{"DOI":"10.22342/jme.10.2.7326.185-202","ISSN":"24070610","abstract":"Beliefs and pedagogical content knowledge (PCK) are two factors influencing teaching practice in the classroom. This research aims to describe the beliefs and PCK of the prospective mathematics teachers and the relationship between the two factors on the teaching practices in the mathematics classroom. Participant in this research includes a prospective teacher who has taken a micro teaching subject and has good communication skill. Data were collected through interview and video analysis on the teaching practice in the classroom. The data obtained were coded, simplified, presented, and triangulated for the credibility and concluded. The result of the research shows that the prospective teachers who hold a constructivist belief view mathematics as a dynamic knowledge which evolves and is regarded as the space of creation for humans. Their beliefs on the nature of mathematics support the belief in the teaching-learning process in mathematics classrooms. Furthermore, a good understanding of the prospective teachers have on the components of the PCK has been sufficient, which can be identified in every step of practical activities in the classroom. More elaboration on the relationship between the belief and PCK is presented in this research.","author":[{"dropping-particle":"","family":"Muhtarom","given":"","non-dropping-particle":"","parse-names":false,"suffix":""},{"dropping-particle":"","family":"Juniati","given":"Dwi","non-dropping-particle":"","parse-names":false,"suffix":""},{"dropping-particle":"","family":"Siswono","given":"Tatag Yuli Eko","non-dropping-particle":"","parse-names":false,"suffix":""}],"container-title":"Journal on Mathematics Education","id":"ITEM-1","issue":"2","issued":{"date-parts":[["2019"]]},"page":"185-202","title":"Examining Prospective Teachers’ Belief and Pedagogical Content Knowledge Towards Teaching Practice in Mathematics Class: A Case Study","type":"article-journal","volume":"10"},"uris":["http://www.mendeley.com/documents/?uuid=116bdf47-9425-46ca-9fa5-0b1caab97f9e"]}],"mendeley":{"formattedCitation":"(Muhtarom et al., 2019)","manualFormatting":"Muhtarom et al., 2019","plainTextFormattedCitation":"(Muhtarom et al., 2019)","previouslyFormattedCitation":"(Muhtarom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{"citationItems":[{"id":"ITEM-1","itemData":{"DOI":"10.24042/ajpm.v11i1.6103","ISSN":"2086-5872","abstract":"This research explained the description of the beliefs of prospective teacher who had an adversity quotient type climber and the relationship between beliefs and mathematics teaching practices in the classroom. One student of climber prospective teacher who had taken an internship course and had good communication skill was willing to become a research subject. Semi-structured interview and observation of learning in class were used to obtain the research data. The data that had been obtained were coded, reduced, presented, triangulated to obtain credible data, and then conclusions were drawn. The results show that the climber math prospective teacher believes that mathematics is as something dynamic, namely the space of creation, human invention that develops continuously. Teaching mathematics is student-centered through problem providing or problem solving, and learning is as a construction of student’s active understanding to build knowledge. A more detailed explanation of beliefs description and the relationship with the mathematics teaching practice is described in this research.","author":[{"dropping-particle":"","family":"Muhtarom","given":"","non-dropping-particle":"","parse-names":false,"suffix":""},{"dropping-particle":"","family":"Siswono","given":"Tatag Yuli Eko","non-dropping-particle":"","parse-names":false,"suffix":""},{"dropping-particle":"","family":"Juniati","given":"Dwi","non-dropping-particle":"","parse-names":false,"suffix":""}],"container-title":"Al-Jabar : Jurnal Pendidikan Matematika","id":"ITEM-1","issue":"1","issued":{"date-parts":[["2020"]]},"page":"83-92","title":"Climber Prospective Teacher: Relationship Beliefs and Mathematics Teaching Practice","type":"article-journal","volume":"11"},"uris":["http://www.mendeley.com/documents/?uuid=fa86074c-b896-4165-ab86-4b7b775d41af"]}],"mendeley":{"formattedCitation":"(Muhtarom et al., 2020)","manualFormatting":"Muhtarom et al., 2020","plainTextFormattedCitation":"(Muhtarom et al., 2020)","previouslyFormattedCitation":"(Muhtarom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Hasil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menunjukkan bahwa kemampuan yang dimiliki calon guru mengenai pengetahuan konten, pengetahuan mengajar, dan pengetahuan terhadap siswa terlihat seimbang antara mahasiswa calon guru matematika dengan kemampuan akademik sangat baik dan mahasiswa calon guru matematika dengan kemampuan akademik baik. Hasil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{"citationItems":[{"id":"ITEM-1","itemData":{"DOI":"10.25217/numerical.v3i2.616","ISSN":"2580-3573","abstract":"Pedagogical Content Knowledge (PCK) is one of the basic knowledge that pre -services teachers must-have. PCK explained how the teacher linked material knowledge with knowledge about teaching. By mastering PCK pre-services teachers are expected to carry out effective learning. The purpose of this study is to describe the ability of pre-service mathematics teacher PCK. This type of research is descriptive qualitative. The subjects of this study were two pre-service teachers for the Mathematics Education Department at the Universitas Sarjanawiyata Tamansiswa. The instruments used were observation sheets, questionnaire sheets, linear program test questions, and interview guidelines. The data analysis technique of this study used descriptive qualitative analysis techniques. The results showed that based on indicators of PCK ability, pre-service teachers already knew and understood core competencies, basic competencies, and learning indicators and could make learning objectives, learning materials, reference sources, approaches, strategies, methods, and mathematical learning models. In addition, pre-service teachers can also make assessment plans, both the affective, cognitive, and psychomotor domains as well as the remedial and enrichment programs. Pre-service teachers are quite flexible and confident in teaching even though there are pre-service teachers who speak in small voices and the intonation has not varied. When viewed from the material side, the material provided by pre-service teachers to students is good even though there are still a few shortcomings. In general, pre-service teachers have a good understanding of content and pedagogical knowledge in theory, but implementation in planning and learning in class is still lacking","author":[{"dropping-particle":"","family":"Ayuningtyas","given":"Annis Deshinta","non-dropping-particle":"","parse-names":false,"suffix":""},{"dropping-particle":"","family":"Apriandi","given":"Davi","non-dropping-particle":"","parse-names":false,"suffix":""}],"container-title":"NUMERICAL: Jurnal Matematika dan Pendidikan Matematika","id":"ITEM-1","issued":{"date-parts":[["2020"]]},"page":"119-130","title":"Pedagogical Content Knowledge (PCK) pada Mahasiswa Calon Guru Matematika","type":"article-journal","volume":"3"},"uris":["http://www.mendeley.com/documents/?uuid=4f38a706-20cf-4219-8475-336139efb7fb"]}],"mendeley":{"formattedCitation":"(Ayuningtyas &amp; Apriandi, 2020)","manualFormatting":"Ayuningtyas &amp; Apriandi (2020)","plainTextFormattedCitation":"(Ayuningtyas &amp; Apriandi, 2020)","previouslyFormattedCitation":"(Ayuningtyas &amp; Apriandi,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Ayuningtyas &amp; Apriandi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menyatakan bahwa secara umum, calon guru memiliki pemahaman yang kurang tentang konten dan pegetahuan pedagogis dalam perencanaan dan </w:t>
      </w:r>
      <w:r w:rsidRPr="00D75340">
        <w:rPr>
          <w:rFonts w:ascii="Times New Roman" w:hAnsi="Times New Roman"/>
          <w:sz w:val="24"/>
          <w:szCs w:val="24"/>
          <w:lang w:val="id-ID"/>
        </w:rPr>
        <w:lastRenderedPageBreak/>
        <w:t xml:space="preserve">pembelajaran di kelas. Hasil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{"citationItems":[{"id":"ITEM-1","itemData":{"DOI":"10.22342/jme.10.2.7326.185-202","ISSN":"24070610","abstract":"Beliefs and pedagogical content knowledge (PCK) are two factors influencing teaching practice in the classroom. This research aims to describe the beliefs and PCK of the prospective mathematics teachers and the relationship between the two factors on the teaching practices in the mathematics classroom. Participant in this research includes a prospective teacher who has taken a micro teaching subject and has good communication skill. Data were collected through interview and video analysis on the teaching practice in the classroom. The data obtained were coded, simplified, presented, and triangulated for the credibility and concluded. The result of the research shows that the prospective teachers who hold a constructivist belief view mathematics as a dynamic knowledge which evolves and is regarded as the space of creation for humans. Their beliefs on the nature of mathematics support the belief in the teaching-learning process in mathematics classrooms. Furthermore, a good understanding of the prospective teachers have on the components of the PCK has been sufficient, which can be identified in every step of practical activities in the classroom. More elaboration on the relationship between the belief and PCK is presented in this research.","author":[{"dropping-particle":"","family":"Muhtarom","given":"","non-dropping-particle":"","parse-names":false,"suffix":""},{"dropping-particle":"","family":"Juniati","given":"Dwi","non-dropping-particle":"","parse-names":false,"suffix":""},{"dropping-particle":"","family":"Siswono","given":"Tatag Yuli Eko","non-dropping-particle":"","parse-names":false,"suffix":""}],"container-title":"Journal on Mathematics Education","id":"ITEM-1","issue":"2","issued":{"date-parts":[["2019"]]},"page":"185-202","title":"Examining Prospective Teachers’ Belief and Pedagogical Content Knowledge Towards Teaching Practice in Mathematics Class: A Case Study","type":"article-journal","volume":"10"},"uris":["http://www.mendeley.com/documents/?uuid=116bdf47-9425-46ca-9fa5-0b1caab97f9e"]}],"mendeley":{"formattedCitation":"(Muhtarom et al., 2019)","manualFormatting":"Muhtarom et al (2019)","plainTextFormattedCitation":"(Muhtarom et al., 2019)","previouslyFormattedCitation":"(Muhtarom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menyatakan bahwa keyakinan yang dimiliki oleh calon guru terhadap matematika dapat mendukung proses belajar mengajar matematika yang dilakukan. Hasil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{"citationItems":[{"id":"ITEM-1","itemData":{"DOI":"10.24042/ajpm.v11i1.6103","ISSN":"2086-5872","abstract":"This research explained the description of the beliefs of prospective teacher who had an adversity quotient type climber and the relationship between beliefs and mathematics teaching practices in the classroom. One student of climber prospective teacher who had taken an internship course and had good communication skill was willing to become a research subject. Semi-structured interview and observation of learning in class were used to obtain the research data. The data that had been obtained were coded, reduced, presented, triangulated to obtain credible data, and then conclusions were drawn. The results show that the climber math prospective teacher believes that mathematics is as something dynamic, namely the space of creation, human invention that develops continuously. Teaching mathematics is student-centered through problem providing or problem solving, and learning is as a construction of student’s active understanding to build knowledge. A more detailed explanation of beliefs description and the relationship with the mathematics teaching practice is described in this research.","author":[{"dropping-particle":"","family":"Muhtarom","given":"","non-dropping-particle":"","parse-names":false,"suffix":""},{"dropping-particle":"","family":"Siswono","given":"Tatag Yuli Eko","non-dropping-particle":"","parse-names":false,"suffix":""},{"dropping-particle":"","family":"Juniati","given":"Dwi","non-dropping-particle":"","parse-names":false,"suffix":""}],"container-title":"Al-Jabar : Jurnal Pendidikan Matematika","id":"ITEM-1","issue":"1","issued":{"date-parts":[["2020"]]},"page":"83-92","title":"Climber Prospective Teacher: Relationship Beliefs and Mathematics Teaching Practice","type":"article-journal","volume":"11"},"uris":["http://www.mendeley.com/documents/?uuid=fa86074c-b896-4165-ab86-4b7b775d41af"]}],"mendeley":{"formattedCitation":"(Muhtarom et al., 2020)","manualFormatting":"Muhtarom et al (2020)","plainTextFormattedCitation":"(Muhtarom et al., 2020)","previouslyFormattedCitation":"(Muhtarom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menyatakan bahwa </w:t>
      </w:r>
      <w:r w:rsidRPr="00D75340">
        <w:rPr>
          <w:rFonts w:ascii="Times New Roman" w:eastAsia="Times New Roman" w:hAnsi="Times New Roman"/>
          <w:color w:val="000000"/>
          <w:sz w:val="24"/>
          <w:szCs w:val="24"/>
          <w:lang w:val="id-ID"/>
        </w:rPr>
        <w:t xml:space="preserve">adanya konsistensi keyakinan calon guru </w:t>
      </w:r>
      <w:r w:rsidRPr="00D75340">
        <w:rPr>
          <w:rFonts w:ascii="Times New Roman" w:eastAsia="Times New Roman" w:hAnsi="Times New Roman"/>
          <w:i/>
          <w:iCs/>
          <w:color w:val="000000"/>
          <w:sz w:val="24"/>
          <w:szCs w:val="24"/>
          <w:lang w:val="id-ID"/>
        </w:rPr>
        <w:t>climber</w:t>
      </w:r>
      <w:r w:rsidRPr="00D75340">
        <w:rPr>
          <w:rFonts w:ascii="Times New Roman" w:eastAsia="Times New Roman" w:hAnsi="Times New Roman"/>
          <w:color w:val="000000"/>
          <w:sz w:val="24"/>
          <w:szCs w:val="24"/>
          <w:lang w:val="id-ID"/>
        </w:rPr>
        <w:t xml:space="preserve"> tentang matematika, pengajaran matematika, dan pembelajaran matematika.</w:t>
      </w:r>
      <w:r w:rsidRPr="00D75340">
        <w:rPr>
          <w:rFonts w:ascii="Times New Roman" w:hAnsi="Times New Roman"/>
          <w:i/>
          <w:iCs/>
          <w:sz w:val="24"/>
          <w:szCs w:val="24"/>
          <w:lang w:val="id-ID"/>
        </w:rPr>
        <w:t xml:space="preserve"> </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Dari penelitian terdahulu sudah ada yang membahas mengenai kemampuan PCK calon guru matematika dan keyakinan matematika calon guru dalam praktik pembelajaran. Akan tetapi, keyakinan matematika dari calon guru yang dibahas hanya keyakinan konstruktivis, sehingga dibutuhkan pembaruan dalam penelitian ini untuk membahas PCK calon guru dari berbagai tipe keyakinan matematika yang lain, di antaranya adalah platonis.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{"citationItems":[{"id":"ITEM-1","itemData":{"DOI":"10.1063/1.4995141","ISBN":"9780735415485","ISSN":"15517616","abstract":"This article showed a consistency and inconsistency beliefs towards prospective mathematics teachers, teaching, learning and problem solving. Data were collected on 183 prospective teachers of mathematics shows that belief in mathematics, teaching, learning and problem solving categorized as an instrumentalist, or platonist, or constructivist. It was found that 0.546% prospective teachers consistently have instrumentalist beliefs; 80.328% had a platonist beliefs; 0.546% had constructivist beliefs, and the rest is inconsistent to each category of beliefs. This study suggests that lecturer should train the prospective teacher through a series of scientific learning activities that have constructivist beliefs.","author":[{"dropping-particle":"","family":"Muhtarom","given":"","non-dropping-particle":"","parse-names":false,"suffix":""},{"dropping-particle":"","family":"Juniati","given":"Dwi","non-dropping-particle":"","parse-names":false,"suffix":""},{"dropping-particle":"","family":"Siswono","given":"Tatag Y.E.","non-dropping-particle":"","parse-names":false,"suffix":""}],"container-title":"AIP Conference Proceedings","id":"ITEM-1","issue":"August","issued":{"date-parts":[["2017"]]},"page":"1-6","title":"Consistency and Inconsistency of Prospective Teachers' Beliefs in Mathematics, Teaching, Learning and Problem Solving","type":"article-journal","volume":"1868"},"uris":["http://www.mendeley.com/documents/?uuid=5e387004-adb0-4de4-8be1-87e40ff0a96f"]}],"mendeley":{"formattedCitation":"(Muhtarom et al., 2017)","manualFormatting":"Muhtarom et al (2017)","plainTextFormattedCitation":"(Muhtarom et al., 2017)","previouslyFormattedCitation":"(Muhtarom et al., 2017)"},"properties":{"noteIndex":0},"schema":"https://github.com/citation-style-language/schema/raw/master/csl-citation.json"}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(2017)</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menyatakan bahwa sebagian besar calon guru matematika memiliki keyakinan platonis. Adanya penelitian ini, diharapkan dapat memberikan gambaran mengenai calon guru matematika yang berkeyakinan platonis terhadap kemampuan PCK dalam pembelajaran.</w:t>
      </w:r>
      <w:r w:rsidRPr="00D75340">
        <w:rPr>
          <w:rFonts w:ascii="Times New Roman" w:hAnsi="Times New Roman"/>
          <w:color w:val="FF0000"/>
          <w:sz w:val="24"/>
          <w:szCs w:val="24"/>
          <w:lang w:val="id-ID"/>
        </w:rPr>
        <w:t xml:space="preserve"> </w:t>
      </w:r>
      <w:r w:rsidRPr="00D75340">
        <w:rPr>
          <w:rFonts w:ascii="Times New Roman" w:hAnsi="Times New Roman"/>
          <w:sz w:val="24"/>
          <w:szCs w:val="24"/>
          <w:lang w:val="id-ID"/>
        </w:rPr>
        <w:t xml:space="preserve">Hal ini dapat menjadi tantangan bagi calon guru matematika agar lebih memahami peran keyakinan dan PCK, serta dapat mengintegrasikan keyakinan dan PCK dalam pembelajaran sebagai bekal pada masa yang akan datang untuk memenuhi persediaan calon tenaga pendidik yang berkualitas. </w:t>
      </w:r>
    </w:p>
    <w:p w:rsidR="004734C8" w:rsidRPr="00D75340" w:rsidRDefault="004734C8" w:rsidP="00E00C37">
      <w:pPr>
        <w:spacing w:after="0"/>
        <w:ind w:firstLine="540"/>
        <w:jc w:val="both"/>
        <w:rPr>
          <w:rFonts w:ascii="Times New Roman" w:hAnsi="Times New Roman"/>
          <w:sz w:val="24"/>
          <w:szCs w:val="24"/>
          <w:lang w:val="id-ID"/>
        </w:rPr>
      </w:pPr>
      <w:r w:rsidRPr="00D75340">
        <w:rPr>
          <w:rFonts w:ascii="Times New Roman" w:hAnsi="Times New Roman"/>
          <w:sz w:val="24"/>
          <w:szCs w:val="24"/>
          <w:lang w:val="id-ID"/>
        </w:rPr>
        <w:t xml:space="preserve">Dengan demikian, penelitian ini perlu dilakukan untuk mendapatkan profil atau gambaran terkait kemampuan PCK calon guru yang berkeyakinan platonis khususnya pada Jurusan Pendidikan Matematika di Universitas Musamus Merauke. Hasil dari penelitian ini diharapkan dapat memberikan deskripsi mengenai profil PCK yang meliputi tiga komponen yaitu pengetahuan tentang materi, pengetahuan mengajar, dan pengetahuan tentang siswa dari calon guru matematika yang berkeyakinan platonis. </w:t>
      </w:r>
    </w:p>
    <w:p w:rsidR="004734C8" w:rsidRPr="00D75340" w:rsidRDefault="004734C8" w:rsidP="004734C8">
      <w:pPr>
        <w:ind w:firstLine="540"/>
        <w:jc w:val="both"/>
        <w:rPr>
          <w:rFonts w:ascii="Times New Roman" w:hAnsi="Times New Roman"/>
          <w:bCs/>
          <w:iCs/>
          <w:color w:val="000000" w:themeColor="text1"/>
          <w:sz w:val="24"/>
          <w:szCs w:val="24"/>
          <w:lang w:val="id-ID"/>
        </w:rPr>
      </w:pP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{"citationItems":[{"id":"ITEM-1","itemData":{"abstract":"This study aims to analyze the problem solving abilities and beliefs of prospective teachers in solving problem solving problems. The type of research used in this study is descriptive research with a qualitative approach. Based on this research, it is known that students with different abilities can do problem solving procedures, ranging from understanding problems, planning, carrying out problem solving and checking again but the results are different in each ability. Students' confidence in solving problem solving problems is relatively the same for all levels of ability, namely they believe that solving problems solving problems takes a long time, except that the length of time required for each level of the subject is different. The three subjects also believe that problem solving is useful in learning mathematics and in everyday life. They also believe that problem-solving abilities can be improved by the learning process.","author":[{"dropping-particle":"","family":"Nasrullah","given":"","non-dropping-particle":"","parse-names":false,"suffix":""},{"dropping-particle":"","family":"Johar","given":"Rahmah","non-dropping-particle":"","parse-names":false,"suffix":""},{"dropping-particle":"","family":"Munzir","given":"Said","non-dropping-particle":"","parse-names":false,"suffix":""}],"container-title":"Jurnal Pendidikan","id":"ITEM-1","issue":"3","issued":{"date-parts":[["2019"]]},"page":"346-362","title":"Kemampuan Pemecahan Masalah dan Keyakinan Calon Guru dalam Menyelesaikan Soal Pemecahan Masalah","type":"article-journal","volume":"4"},"uris":["http://www.mendeley.com/documents/?uuid=c70467cd-2d73-4ab1-ad04-1387b55b4807"]}],"mendeley":{"formattedCitation":"(Nasrullah et al., 2019)","manualFormatting":"Nasrullah et al (2019)","plainTextFormattedCitation":"(Nasrullah et al., 2019)","previouslyFormattedCitation":"(Nasrullah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Nasrullah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mengatakan, cara calon guru melakukan proses pembelajaran pada saat beberapa tahun pertama ketika terjun dalam dunia guru yang sebenarnya dapat dipengaruhi oleh keyakinan matematika. Dengan adanya keyakinan matematika yang dimiliki oleh calon guru, diharapkan dapat mengintegrasikan antara struktur kognitif dan pengetahuan mengajar matematika. Bertolak dari masalah tersebut, penelitian saat ini bertujuan untuk mendeskripsikan kemampuan PCK calon guru matematika yang memiliki keyakinan platonis. Oleh karena itu, penulis tertarik untuk melakukan penelitian dengan judul “</w:t>
      </w:r>
      <w:r w:rsidRPr="00D75340">
        <w:rPr>
          <w:rFonts w:ascii="Times New Roman" w:hAnsi="Times New Roman"/>
          <w:bCs/>
          <w:color w:val="000000" w:themeColor="text1"/>
          <w:sz w:val="24"/>
          <w:szCs w:val="24"/>
          <w:lang w:val="id-ID"/>
        </w:rPr>
        <w:t xml:space="preserve">Profil </w:t>
      </w:r>
      <w:r w:rsidRPr="00D75340">
        <w:rPr>
          <w:rFonts w:ascii="Times New Roman" w:hAnsi="Times New Roman"/>
          <w:bCs/>
          <w:i/>
          <w:color w:val="000000" w:themeColor="text1"/>
          <w:sz w:val="24"/>
          <w:szCs w:val="24"/>
          <w:lang w:val="id-ID"/>
        </w:rPr>
        <w:t xml:space="preserve">Pedagogical Content Knowledge </w:t>
      </w:r>
      <w:r w:rsidRPr="00D75340">
        <w:rPr>
          <w:rFonts w:ascii="Times New Roman" w:hAnsi="Times New Roman"/>
          <w:bCs/>
          <w:iCs/>
          <w:color w:val="000000" w:themeColor="text1"/>
          <w:sz w:val="24"/>
          <w:szCs w:val="24"/>
          <w:lang w:val="id-ID"/>
        </w:rPr>
        <w:t>Calon Guru Matematika yang Berkeyakinan Platonis”.</w:t>
      </w:r>
    </w:p>
    <w:tbl>
      <w:tblPr>
        <w:tblStyle w:val="aa"/>
        <w:tblW w:w="90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061"/>
      </w:tblGrid>
      <w:tr w:rsidR="00DF294C" w:rsidRPr="00D75340">
        <w:trPr>
          <w:trHeight w:val="20"/>
        </w:trPr>
        <w:tc>
          <w:tcPr>
            <w:tcW w:w="9061" w:type="dxa"/>
            <w:shd w:val="clear" w:color="auto" w:fill="00B050"/>
            <w:vAlign w:val="center"/>
          </w:tcPr>
          <w:p w:rsidR="00DF294C" w:rsidRPr="00D75340" w:rsidRDefault="004734C8" w:rsidP="004734C8">
            <w:pPr>
              <w:pBdr>
                <w:top w:val="nil"/>
                <w:left w:val="nil"/>
                <w:bottom w:val="nil"/>
                <w:right w:val="nil"/>
                <w:between w:val="nil"/>
              </w:pBdr>
              <w:spacing w:after="0" w:line="240" w:lineRule="auto"/>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Metode Penelitian</w:t>
            </w:r>
          </w:p>
        </w:tc>
      </w:tr>
    </w:tbl>
    <w:p w:rsidR="00E00C37" w:rsidRPr="00D75340" w:rsidRDefault="001A0FDE" w:rsidP="00E00C37">
      <w:pPr>
        <w:spacing w:after="0"/>
        <w:ind w:firstLine="567"/>
        <w:jc w:val="both"/>
        <w:rPr>
          <w:rFonts w:ascii="Times New Roman" w:hAnsi="Times New Roman"/>
          <w:sz w:val="24"/>
          <w:szCs w:val="24"/>
          <w:lang w:val="id-ID"/>
        </w:rPr>
      </w:pPr>
      <w:r w:rsidRPr="00D75340">
        <w:rPr>
          <w:rFonts w:ascii="Times New Roman" w:hAnsi="Times New Roman"/>
          <w:sz w:val="24"/>
          <w:szCs w:val="24"/>
          <w:lang w:val="id-ID"/>
        </w:rPr>
        <w:t>Penelitian ini merupakan penelitian deskriptif dengan metode yang digunakan yaitu metode kualitatif. Penelitian dengan menggunakan metode kualitatif adalah penelitian yang lebih fokus untuk mendeskripsikan suatu permasalahan atau situasi yang sebenarnya terjadi. Berdasarkan tujuan penelitian ini, maka hasil dari penelitian berupa profil atau gambaran nyata kemampuan PCK mahasiswa calon guru matematika Universitas Musamus yang berkeyakinan platonis. Penelitian ini telah dilaksanakan di SMP Negeri 8 Merauke yang beralamat di Jl. LB. Moerdani Tanah Miring. Penelitian dilakukan pada semester ganjil tahun ajaran 2021/2022.</w:t>
      </w:r>
    </w:p>
    <w:p w:rsidR="001A0FDE" w:rsidRPr="00D75340" w:rsidRDefault="001A0FDE" w:rsidP="00E00C37">
      <w:pPr>
        <w:spacing w:after="0"/>
        <w:ind w:firstLine="567"/>
        <w:jc w:val="both"/>
        <w:rPr>
          <w:rFonts w:ascii="Times New Roman" w:hAnsi="Times New Roman"/>
          <w:sz w:val="24"/>
          <w:szCs w:val="24"/>
          <w:lang w:val="id-ID"/>
        </w:rPr>
      </w:pPr>
      <w:r w:rsidRPr="00D75340">
        <w:rPr>
          <w:rFonts w:ascii="Times New Roman" w:hAnsi="Times New Roman"/>
          <w:sz w:val="24"/>
          <w:szCs w:val="24"/>
          <w:lang w:val="id-ID"/>
        </w:rPr>
        <w:t xml:space="preserve">Penentuan subjek dalam penelitian ini menggunakan teknik </w:t>
      </w:r>
      <w:r w:rsidRPr="00D75340">
        <w:rPr>
          <w:rFonts w:ascii="Times New Roman" w:hAnsi="Times New Roman"/>
          <w:i/>
          <w:sz w:val="24"/>
          <w:szCs w:val="24"/>
          <w:lang w:val="id-ID"/>
        </w:rPr>
        <w:t>purposive sampling</w:t>
      </w:r>
      <w:r w:rsidRPr="00D75340">
        <w:rPr>
          <w:rFonts w:ascii="Times New Roman" w:hAnsi="Times New Roman"/>
          <w:sz w:val="24"/>
          <w:szCs w:val="24"/>
          <w:lang w:val="id-ID"/>
        </w:rPr>
        <w:t xml:space="preserve"> yang merupakan teknik pengambilan sampel sumber data dengan pertimbangan tertentu, yaitu </w:t>
      </w:r>
      <w:r w:rsidRPr="00D75340">
        <w:rPr>
          <w:rFonts w:ascii="Times New Roman" w:hAnsi="Times New Roman"/>
          <w:sz w:val="24"/>
          <w:szCs w:val="24"/>
          <w:lang w:val="id-ID"/>
        </w:rPr>
        <w:lastRenderedPageBreak/>
        <w:t xml:space="preserve">dengan memerhatikan nilai IPK dan total jawaban pernyataan keyakinan platonis yang dipilih. Subjek dalam penelitian ini adalah mahasiswa angkatan 2019 Program Studi Pendidikan Matematika Universitas Musamus yang sedang menjalankan kampus mengajar di SMP Negeri 8 Merauke. Jumlah mahasiswa dalam pemilihan subjek penelitian adalah 6 mahasiswa dan memiliki gender yang sama yaitu perempuan. Dengan menggunakan teknik </w:t>
      </w:r>
      <w:r w:rsidRPr="00D75340">
        <w:rPr>
          <w:rFonts w:ascii="Times New Roman" w:hAnsi="Times New Roman"/>
          <w:i/>
          <w:sz w:val="24"/>
          <w:szCs w:val="24"/>
          <w:lang w:val="id-ID"/>
        </w:rPr>
        <w:t>purposive sampling,</w:t>
      </w:r>
      <w:r w:rsidRPr="00D75340">
        <w:rPr>
          <w:rFonts w:ascii="Times New Roman" w:hAnsi="Times New Roman"/>
          <w:sz w:val="24"/>
          <w:szCs w:val="24"/>
          <w:lang w:val="id-ID"/>
        </w:rPr>
        <w:t xml:space="preserve"> maka</w:t>
      </w:r>
      <w:r w:rsidRPr="00D75340">
        <w:rPr>
          <w:rFonts w:ascii="Times New Roman" w:hAnsi="Times New Roman"/>
          <w:i/>
          <w:sz w:val="24"/>
          <w:szCs w:val="24"/>
          <w:lang w:val="id-ID"/>
        </w:rPr>
        <w:t xml:space="preserve"> </w:t>
      </w:r>
      <w:r w:rsidRPr="00D75340">
        <w:rPr>
          <w:rFonts w:ascii="Times New Roman" w:hAnsi="Times New Roman"/>
          <w:sz w:val="24"/>
          <w:szCs w:val="24"/>
          <w:lang w:val="id-ID"/>
        </w:rPr>
        <w:t>diperoleh 1 subjek berkeyakinan platonis dengan IPK tinggi dan 1 subjek berkeyakinan platonis dengan IPK sedang</w:t>
      </w:r>
      <w:r w:rsidR="00E00C37" w:rsidRPr="00D75340">
        <w:rPr>
          <w:rFonts w:ascii="Times New Roman" w:hAnsi="Times New Roman"/>
          <w:sz w:val="24"/>
          <w:szCs w:val="24"/>
          <w:lang w:val="id-ID"/>
        </w:rPr>
        <w:t>.</w:t>
      </w:r>
    </w:p>
    <w:p w:rsidR="00722B5F" w:rsidRPr="00D75340" w:rsidRDefault="00722B5F" w:rsidP="00E00C37">
      <w:pPr>
        <w:spacing w:after="0"/>
        <w:ind w:firstLine="540"/>
        <w:jc w:val="both"/>
        <w:rPr>
          <w:rFonts w:ascii="Times New Roman" w:hAnsi="Times New Roman"/>
          <w:sz w:val="24"/>
          <w:szCs w:val="24"/>
          <w:lang w:val="id-ID"/>
        </w:rPr>
      </w:pPr>
      <w:r w:rsidRPr="00D75340">
        <w:rPr>
          <w:rFonts w:ascii="Times New Roman" w:eastAsia="Times New Roman" w:hAnsi="Times New Roman"/>
          <w:sz w:val="24"/>
          <w:szCs w:val="24"/>
          <w:lang w:val="id-ID"/>
        </w:rPr>
        <w:t xml:space="preserve">Instrumen dalam penelitian ini menggunakan lembar angket, lembar tes, pedoman observasi, dan pedoman wawancara. </w:t>
      </w:r>
      <w:r w:rsidRPr="00D75340">
        <w:rPr>
          <w:rFonts w:ascii="Times New Roman" w:hAnsi="Times New Roman"/>
          <w:sz w:val="24"/>
          <w:szCs w:val="24"/>
          <w:lang w:val="id-ID"/>
        </w:rPr>
        <w:t>Angket digunakan untuk mengetahui tipe keyakinan matematika mahasiswa calon guru dala</w:t>
      </w:r>
      <w:bookmarkStart w:id="0" w:name="_GoBack"/>
      <w:bookmarkEnd w:id="0"/>
      <w:r w:rsidRPr="00D75340">
        <w:rPr>
          <w:rFonts w:ascii="Times New Roman" w:hAnsi="Times New Roman"/>
          <w:sz w:val="24"/>
          <w:szCs w:val="24"/>
          <w:lang w:val="id-ID"/>
        </w:rPr>
        <w:t xml:space="preserve">m kategori instrumentalis, platonis, dan konstruktivis. Dalam pembuatan item-item pernyataan atau pertanyaan angket keyakinan matematika disusun berdasarkan dimensi yang telah dikemukakan oleh Ernest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{"citationItems":[{"id":"ITEM-1","itemData":{"ISBN":"9786027340312","abstract":"Keyakinan merupakan bagian dari domain afektif selain perasaan dan suasana hati. Banyak penelitian telah dilakukan yang menunjukkan bahwa keyakinan matematika guru berpengaruh ketika mereka mengajar dan pendidikan guru berpengaruh dalam pembentukan keyakinan matematika calon guru. Kajian literatur ini dilakukan dengan mensintesis pandangan ahli tentang tiga tipe keyakinan matematika guru, yaitu keyakinan konstruktivis atau pemecahan masalah, platonis, dan instrumentalis. Keyakinan matematika konstruktivis menunjukkan tipe keyakinan ideal dibandingkan dua tipe keyakinan yang lain. Untuk mencapai keyakinan ideal tersebut, guru perlu mengembangkan pengetahuan dan pengalaman mengenai hakikat matematika, belajar matematika, dan mengajar matematika yang mampu meningkatkan cara berpikir dan daya eksplorasi matematika","author":[{"dropping-particle":"","family":"Novikasari","given":"Ifada","non-dropping-particle":"","parse-names":false,"suffix":""}],"container-title":"Seminar Nasional Matematikan dan Pendidikan Matematika UNY","id":"ITEM-1","issued":{"date-parts":[["2016"]]},"page":"377-380","title":"Tiga Tipe Keyakinan Matematika Guru","type":"article-journal"},"uris":["http://www.mendeley.com/documents/?uuid=0345a514-0ed3-47fd-a976-5c969af8f2e9"]}],"mendeley":{"formattedCitation":"(Novikasari, 2016)","plainTextFormattedCitation":"(Novikasari, 2016)","previouslyFormattedCitation":"(Novikasari,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(Novikasari,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yaitu sifat matematika, mengajar matematika, dan belajar matematika. Pemberian skor pada angket penelitian ini menggunakan pedoman skor kategori keyakinan matematika menurut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{"citationItems":[{"id":"ITEM-1","itemData":{"ISBN":"1742-6596","abstract":"Weaknesses on problem solving of Indonesian students as reported by recent international surveys give rise to questions on how Indonesian teachers bring out idea of problem solving in mathematics lesson. An explorative study was undertaken to investigate how secondary teachers who teach mathematics at junior high school level understand and show belief toward mathematical problem solving. Participants were teachers from four cities in East Java province comprising 45 state teachers and 25 private teachers. Data was obtained through questionnaires and written test. The results of this study point out that the teachers understand pedagogical problem solving knowledge well as indicated by high score of observed teachers‘ responses showing understanding on problem solving as instruction as well as implementation of problem solving in teaching practice. However, they less understand on problem solving content knowledge such as problem solving strategies and meaning of problem itself. Regarding teacher’s difficulties, teachers admitted to most frequently fail in (1) determining a precise mathematical model or strategies when carrying out problem solving steps which is supported by data of test result that revealed transformation error as the most frequently observed errors in teachers’ work and (2) choosing suitable real situation when designing context-based problem solving task. Meanwhile, analysis of teacher’s beliefs on problem solving shows that teachers tend to view both mathematics and how students should learn mathematics as body static perspective, while they tend to believe to apply idea of problem solving as dynamic approach when teaching mathematics","author":[{"dropping-particle":"","family":"Siswono","given":"Tatag Yuli Eko","non-dropping-particle":"","parse-names":false,"suffix":""},{"dropping-particle":"","family":"Kohar","given":"Ahmad Wachidul","non-dropping-particle":"","parse-names":false,"suffix":""},{"dropping-particle":"","family":"Kurniasari","given":"Ika","non-dropping-particle":"","parse-names":false,"suffix":""},{"dropping-particle":"","family":"Astuti","given":"Yuliani Puji","non-dropping-particle":"","parse-names":false,"suffix":""}],"container-title":"Journal of Physics: Conference Series","id":"ITEM-1","issue":"1","issued":{"date-parts":[["2016"]]},"page":"1-19","publisher":"IOP Publishing","title":"An investigation of Secondary Teachers’ Understanding and Belief on Mathematical Problem Solving","type":"paper-conference","volume":"693"},"uris":["http://www.mendeley.com/documents/?uuid=98ef2781-897d-46e3-8084-fe1bb7883ade"]}],"mendeley":{"formattedCitation":"(Tatag Yuli Eko Siswono, Kohar, Kurniasari, et al., 2016)","manualFormatting":"(Siswono et al., 2016)","plainTextFormattedCitation":"(Tatag Yuli Eko Siswono, Kohar, Kurniasari, et al., 2016)","previouslyFormattedCitation":"(Tatag Yuli Eko Siswono, Kohar, Kurniasari, et al.,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(Siswono et al.,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w:t>
      </w:r>
    </w:p>
    <w:p w:rsidR="00722B5F" w:rsidRPr="00D75340" w:rsidRDefault="00722B5F" w:rsidP="00722B5F">
      <w:pPr>
        <w:jc w:val="center"/>
        <w:rPr>
          <w:rFonts w:ascii="Times New Roman" w:eastAsia="Times" w:hAnsi="Times New Roman"/>
          <w:color w:val="000000"/>
          <w:sz w:val="24"/>
          <w:szCs w:val="24"/>
          <w:lang w:val="id-ID"/>
        </w:rPr>
      </w:pPr>
      <w:r w:rsidRPr="00D75340">
        <w:rPr>
          <w:rFonts w:ascii="Times New Roman" w:eastAsia="Times" w:hAnsi="Times New Roman"/>
          <w:color w:val="000000"/>
          <w:sz w:val="24"/>
          <w:szCs w:val="24"/>
          <w:lang w:val="id-ID"/>
        </w:rPr>
        <w:t>Skor (S)</w:t>
      </w:r>
      <m:oMath>
        <m:r>
          <w:rPr>
            <w:rFonts w:ascii="Cambria Math" w:eastAsia="Times" w:hAnsi="Cambria Math"/>
            <w:color w:val="000000"/>
            <w:sz w:val="24"/>
            <w:szCs w:val="24"/>
            <w:lang w:val="id-ID"/>
          </w:rPr>
          <m:t>=</m:t>
        </m:r>
        <m:f>
          <m:fPr>
            <m:ctrlPr>
              <w:rPr>
                <w:rFonts w:ascii="Cambria Math" w:eastAsia="Times" w:hAnsi="Cambria Math"/>
                <w:color w:val="000000"/>
                <w:sz w:val="24"/>
                <w:szCs w:val="24"/>
                <w:lang w:val="id-ID"/>
              </w:rPr>
            </m:ctrlPr>
          </m:fPr>
          <m:num>
            <m:r>
              <w:rPr>
                <w:rFonts w:ascii="Cambria Math" w:eastAsia="Times" w:hAnsi="Cambria Math"/>
                <w:color w:val="000000"/>
                <w:sz w:val="24"/>
                <w:szCs w:val="24"/>
                <w:lang w:val="id-ID"/>
              </w:rPr>
              <m:t>Total skor yang diperoleh</m:t>
            </m:r>
          </m:num>
          <m:den>
            <m:r>
              <w:rPr>
                <w:rFonts w:ascii="Cambria Math" w:eastAsia="Times" w:hAnsi="Cambria Math"/>
                <w:color w:val="000000"/>
                <w:sz w:val="24"/>
                <w:szCs w:val="24"/>
                <w:lang w:val="id-ID"/>
              </w:rPr>
              <m:t>Jumlah pertanyaan yang dijawab</m:t>
            </m:r>
          </m:den>
        </m:f>
      </m:oMath>
    </w:p>
    <w:p w:rsidR="002879D9" w:rsidRPr="00D75340" w:rsidRDefault="002879D9" w:rsidP="002879D9">
      <w:pPr>
        <w:ind w:firstLine="540"/>
        <w:rPr>
          <w:rFonts w:ascii="Times New Roman" w:hAnsi="Times New Roman"/>
          <w:sz w:val="24"/>
          <w:szCs w:val="24"/>
          <w:lang w:val="id-ID"/>
        </w:rPr>
      </w:pPr>
      <w:r w:rsidRPr="00D75340">
        <w:rPr>
          <w:rFonts w:ascii="Times New Roman" w:eastAsia="Times" w:hAnsi="Times New Roman"/>
          <w:color w:val="000000"/>
          <w:sz w:val="24"/>
          <w:szCs w:val="24"/>
          <w:lang w:val="id-ID"/>
        </w:rPr>
        <w:t xml:space="preserve">Skor responden kemudian dikategorikan ke dalam pedoman </w:t>
      </w:r>
      <w:r w:rsidRPr="00D75340">
        <w:rPr>
          <w:rFonts w:ascii="Times New Roman" w:hAnsi="Times New Roman"/>
          <w:sz w:val="24"/>
          <w:szCs w:val="24"/>
          <w:lang w:val="id-ID"/>
        </w:rPr>
        <w:t>kategori keyakinan matematika yang dapat dilihat pada tabel 1.</w:t>
      </w:r>
    </w:p>
    <w:sdt>
      <w:sdtPr>
        <w:rPr>
          <w:lang w:val="id-ID"/>
        </w:rPr>
        <w:tag w:val="goog_rdk_0"/>
        <w:id w:val="445282081"/>
      </w:sdtPr>
      <w:sdtEndPr/>
      <w:sdtContent>
        <w:p w:rsidR="00D4307E" w:rsidRPr="00D75340" w:rsidRDefault="00D4307E" w:rsidP="00D4307E">
          <w:pPr>
            <w:spacing w:after="0"/>
            <w:ind w:firstLine="567"/>
            <w:jc w:val="center"/>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 xml:space="preserve">Table 1. </w:t>
          </w:r>
          <w:r w:rsidRPr="00D75340">
            <w:rPr>
              <w:rFonts w:ascii="Times New Roman" w:hAnsi="Times New Roman"/>
              <w:b/>
              <w:sz w:val="24"/>
              <w:szCs w:val="24"/>
              <w:lang w:val="id-ID"/>
            </w:rPr>
            <w:t>Kategori Skor Keyakinan Matematika</w:t>
          </w:r>
        </w:p>
      </w:sdtContent>
    </w:sdt>
    <w:tbl>
      <w:tblPr>
        <w:tblStyle w:val="ac"/>
        <w:tblW w:w="6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95"/>
        <w:gridCol w:w="3346"/>
      </w:tblGrid>
      <w:tr w:rsidR="00D4307E" w:rsidRPr="00D75340" w:rsidTr="00D4307E">
        <w:trPr>
          <w:jc w:val="center"/>
        </w:trPr>
        <w:tc>
          <w:tcPr>
            <w:tcW w:w="2695" w:type="dxa"/>
            <w:shd w:val="clear" w:color="auto" w:fill="00B050"/>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hAnsi="Times New Roman"/>
                <w:b/>
                <w:bCs/>
                <w:lang w:val="id-ID"/>
              </w:rPr>
              <w:t>Skor (S)</w:t>
            </w:r>
          </w:p>
        </w:tc>
        <w:tc>
          <w:tcPr>
            <w:tcW w:w="3346" w:type="dxa"/>
            <w:shd w:val="clear" w:color="auto" w:fill="00B050"/>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hAnsi="Times New Roman"/>
                <w:b/>
                <w:bCs/>
                <w:lang w:val="id-ID"/>
              </w:rPr>
              <w:t>Kategori Keyakinan Matematika</w:t>
            </w:r>
          </w:p>
        </w:tc>
      </w:tr>
      <w:tr w:rsidR="00D4307E" w:rsidRPr="00D75340" w:rsidTr="00D4307E">
        <w:trPr>
          <w:jc w:val="center"/>
        </w:trPr>
        <w:tc>
          <w:tcPr>
            <w:tcW w:w="2695"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eastAsia="Times" w:hAnsi="Times New Roman"/>
                <w:lang w:val="id-ID"/>
              </w:rPr>
              <w:t>1,0 ≤ S &lt;1,67</w:t>
            </w:r>
          </w:p>
        </w:tc>
        <w:tc>
          <w:tcPr>
            <w:tcW w:w="3346"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hAnsi="Times New Roman"/>
                <w:lang w:val="id-ID"/>
              </w:rPr>
              <w:t>Instrumentalis</w:t>
            </w:r>
          </w:p>
        </w:tc>
      </w:tr>
      <w:tr w:rsidR="00D4307E" w:rsidRPr="00D75340" w:rsidTr="00D4307E">
        <w:trPr>
          <w:jc w:val="center"/>
        </w:trPr>
        <w:tc>
          <w:tcPr>
            <w:tcW w:w="2695"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eastAsia="Times" w:hAnsi="Times New Roman"/>
                <w:lang w:val="id-ID"/>
              </w:rPr>
              <w:t>1,67 ≤ S ≤ 2,3</w:t>
            </w:r>
          </w:p>
        </w:tc>
        <w:tc>
          <w:tcPr>
            <w:tcW w:w="3346"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hAnsi="Times New Roman"/>
                <w:lang w:val="id-ID"/>
              </w:rPr>
              <w:t>Platonis</w:t>
            </w:r>
          </w:p>
        </w:tc>
      </w:tr>
      <w:tr w:rsidR="00D4307E" w:rsidRPr="00D75340" w:rsidTr="00D4307E">
        <w:trPr>
          <w:jc w:val="center"/>
        </w:trPr>
        <w:tc>
          <w:tcPr>
            <w:tcW w:w="2695"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eastAsia="Times" w:hAnsi="Times New Roman"/>
                <w:lang w:val="id-ID"/>
              </w:rPr>
              <w:t>2,3 &lt; S ≤ 3,0</w:t>
            </w:r>
          </w:p>
        </w:tc>
        <w:tc>
          <w:tcPr>
            <w:tcW w:w="3346" w:type="dxa"/>
            <w:vAlign w:val="center"/>
          </w:tcPr>
          <w:p w:rsidR="00D4307E" w:rsidRPr="00D75340" w:rsidRDefault="00D4307E" w:rsidP="0072710F">
            <w:pPr>
              <w:spacing w:after="0"/>
              <w:jc w:val="center"/>
              <w:rPr>
                <w:rFonts w:ascii="Times New Roman" w:eastAsia="Times New Roman" w:hAnsi="Times New Roman"/>
                <w:lang w:val="id-ID"/>
              </w:rPr>
            </w:pPr>
            <w:r w:rsidRPr="00D75340">
              <w:rPr>
                <w:rFonts w:ascii="Times New Roman" w:hAnsi="Times New Roman"/>
                <w:lang w:val="id-ID"/>
              </w:rPr>
              <w:t>Konstruktivis</w:t>
            </w:r>
          </w:p>
        </w:tc>
      </w:tr>
    </w:tbl>
    <w:p w:rsidR="002879D9" w:rsidRPr="00D75340" w:rsidRDefault="002879D9" w:rsidP="002879D9">
      <w:pPr>
        <w:pStyle w:val="ListParagraph"/>
        <w:ind w:left="0"/>
        <w:jc w:val="both"/>
        <w:rPr>
          <w:rFonts w:ascii="Times New Roman" w:hAnsi="Times New Roman"/>
          <w:sz w:val="24"/>
          <w:szCs w:val="24"/>
          <w:lang w:val="id-ID"/>
        </w:rPr>
      </w:pPr>
    </w:p>
    <w:p w:rsidR="00985690" w:rsidRPr="00D75340" w:rsidRDefault="00722B5F" w:rsidP="00E00C37">
      <w:pPr>
        <w:pStyle w:val="ListParagraph"/>
        <w:spacing w:after="0"/>
        <w:ind w:left="0" w:firstLine="540"/>
        <w:jc w:val="both"/>
        <w:rPr>
          <w:rFonts w:ascii="Times New Roman" w:hAnsi="Times New Roman"/>
          <w:sz w:val="24"/>
          <w:szCs w:val="24"/>
          <w:lang w:val="id-ID"/>
        </w:rPr>
      </w:pPr>
      <w:r w:rsidRPr="00D75340">
        <w:rPr>
          <w:rFonts w:ascii="Times New Roman" w:hAnsi="Times New Roman"/>
          <w:sz w:val="24"/>
          <w:szCs w:val="24"/>
          <w:lang w:val="id-ID"/>
        </w:rPr>
        <w:t xml:space="preserve">Lembar tes digunakan untuk melihat kemampuan calon guru matematika dalam memahami materi tertentu. Materi yang digunakan dalam tes adalah himpunan. Pedoman observasi digunakan untuk memeroleh informasi terhadap proses pembelajaran yang dilakukan calon guru secara langsung, dan bersifat partisipasi pasif. Pedoman wawancara digunakan untuk mengetahui PCK dari calon guru matematika sesuai dengan keyakinan matematika yang dimiliki. Pedoman wawancara menggunakan wawancara semi terstruktur. Sebelum digunakan, instrumen </w:t>
      </w:r>
      <w:r w:rsidR="002879D9" w:rsidRPr="00D75340">
        <w:rPr>
          <w:rFonts w:ascii="Times New Roman" w:hAnsi="Times New Roman"/>
          <w:sz w:val="24"/>
          <w:szCs w:val="24"/>
          <w:lang w:val="id-ID"/>
        </w:rPr>
        <w:t>penelitian</w:t>
      </w:r>
      <w:r w:rsidRPr="00D75340">
        <w:rPr>
          <w:rFonts w:ascii="Times New Roman" w:hAnsi="Times New Roman"/>
          <w:sz w:val="24"/>
          <w:szCs w:val="24"/>
          <w:lang w:val="id-ID"/>
        </w:rPr>
        <w:t xml:space="preserve"> dikonsultasikan kepada dosen pembimbing. Selanjutnya, instrumen tersebut divalidasi oleh 2 validator yaitu dosen pendidikan matematika.</w:t>
      </w:r>
    </w:p>
    <w:p w:rsidR="002879D9" w:rsidRPr="00D75340" w:rsidRDefault="00985690" w:rsidP="002879D9">
      <w:pPr>
        <w:pStyle w:val="ListParagraph"/>
        <w:ind w:left="0" w:firstLine="540"/>
        <w:jc w:val="both"/>
        <w:rPr>
          <w:rFonts w:ascii="Times New Roman" w:hAnsi="Times New Roman"/>
          <w:sz w:val="24"/>
          <w:szCs w:val="24"/>
          <w:lang w:val="id-ID"/>
        </w:rPr>
      </w:pPr>
      <w:r w:rsidRPr="00D75340">
        <w:rPr>
          <w:rFonts w:ascii="Times New Roman" w:eastAsiaTheme="majorEastAsia" w:hAnsi="Times New Roman"/>
          <w:sz w:val="24"/>
          <w:szCs w:val="24"/>
          <w:lang w:val="id-ID"/>
        </w:rPr>
        <w:t>Dalam penelitian ini triangulasi yang digunakan adalah triangulasi teknik pengumpulan data. Selain itu, r</w:t>
      </w:r>
      <w:r w:rsidR="002879D9" w:rsidRPr="00D75340">
        <w:rPr>
          <w:rFonts w:ascii="Times New Roman" w:eastAsiaTheme="majorEastAsia" w:hAnsi="Times New Roman"/>
          <w:sz w:val="24"/>
          <w:szCs w:val="24"/>
          <w:lang w:val="id-ID"/>
        </w:rPr>
        <w:t>ekaman video pembelaja</w:t>
      </w:r>
      <w:r w:rsidRPr="00D75340">
        <w:rPr>
          <w:rFonts w:ascii="Times New Roman" w:eastAsiaTheme="majorEastAsia" w:hAnsi="Times New Roman"/>
          <w:sz w:val="24"/>
          <w:szCs w:val="24"/>
          <w:lang w:val="id-ID"/>
        </w:rPr>
        <w:t xml:space="preserve">ran ditonton bersama calon guru, </w:t>
      </w:r>
      <w:r w:rsidR="002879D9" w:rsidRPr="00D75340">
        <w:rPr>
          <w:rFonts w:ascii="Times New Roman" w:eastAsiaTheme="majorEastAsia" w:hAnsi="Times New Roman"/>
          <w:sz w:val="24"/>
          <w:szCs w:val="24"/>
          <w:lang w:val="id-ID"/>
        </w:rPr>
        <w:t xml:space="preserve">serta hasil data observasi pembelajaran yang telah diperoleh dilakukan pengecekan bersama calon guru agar data sesuai dengan yang dilakukan oleh calon guru selama pembelajaran. </w:t>
      </w:r>
      <w:r w:rsidRPr="00D75340">
        <w:rPr>
          <w:rFonts w:ascii="Times New Roman" w:eastAsiaTheme="majorEastAsia" w:hAnsi="Times New Roman"/>
          <w:sz w:val="24"/>
          <w:szCs w:val="24"/>
          <w:lang w:val="id-ID"/>
        </w:rPr>
        <w:t>Teknik analisis data yang digunakan</w:t>
      </w:r>
      <w:r w:rsidR="005D38FD" w:rsidRPr="00D75340">
        <w:rPr>
          <w:rFonts w:ascii="Times New Roman" w:eastAsiaTheme="majorEastAsia" w:hAnsi="Times New Roman"/>
          <w:sz w:val="24"/>
          <w:szCs w:val="24"/>
          <w:lang w:val="id-ID"/>
        </w:rPr>
        <w:t xml:space="preserve"> yaitu </w:t>
      </w:r>
      <w:r w:rsidR="005D38FD" w:rsidRPr="00D75340">
        <w:rPr>
          <w:rFonts w:ascii="Times New Roman" w:hAnsi="Times New Roman"/>
          <w:sz w:val="24"/>
          <w:szCs w:val="24"/>
          <w:lang w:val="id-ID"/>
        </w:rPr>
        <w:t xml:space="preserve">data </w:t>
      </w:r>
      <w:r w:rsidR="005D38FD" w:rsidRPr="00D75340">
        <w:rPr>
          <w:rFonts w:ascii="Times New Roman" w:hAnsi="Times New Roman"/>
          <w:i/>
          <w:sz w:val="24"/>
          <w:szCs w:val="24"/>
          <w:lang w:val="id-ID"/>
        </w:rPr>
        <w:t xml:space="preserve">reduction </w:t>
      </w:r>
      <w:r w:rsidR="005D38FD" w:rsidRPr="00D75340">
        <w:rPr>
          <w:rFonts w:ascii="Times New Roman" w:hAnsi="Times New Roman"/>
          <w:sz w:val="24"/>
          <w:szCs w:val="24"/>
          <w:lang w:val="id-ID"/>
        </w:rPr>
        <w:t xml:space="preserve">(reduksi data), data </w:t>
      </w:r>
      <w:r w:rsidR="005D38FD" w:rsidRPr="00D75340">
        <w:rPr>
          <w:rFonts w:ascii="Times New Roman" w:hAnsi="Times New Roman"/>
          <w:i/>
          <w:sz w:val="24"/>
          <w:szCs w:val="24"/>
          <w:lang w:val="id-ID"/>
        </w:rPr>
        <w:t>display</w:t>
      </w:r>
      <w:r w:rsidR="005D38FD" w:rsidRPr="00D75340">
        <w:rPr>
          <w:rFonts w:ascii="Times New Roman" w:hAnsi="Times New Roman"/>
          <w:sz w:val="24"/>
          <w:szCs w:val="24"/>
          <w:lang w:val="id-ID"/>
        </w:rPr>
        <w:t xml:space="preserve"> (penyajian data), dan </w:t>
      </w:r>
      <w:r w:rsidR="005D38FD" w:rsidRPr="00D75340">
        <w:rPr>
          <w:rFonts w:ascii="Times New Roman" w:hAnsi="Times New Roman"/>
          <w:i/>
          <w:sz w:val="24"/>
          <w:szCs w:val="24"/>
          <w:lang w:val="id-ID"/>
        </w:rPr>
        <w:t>verification/conclusion drawing</w:t>
      </w:r>
      <w:r w:rsidR="005D38FD" w:rsidRPr="00D75340">
        <w:rPr>
          <w:rFonts w:ascii="Times New Roman" w:hAnsi="Times New Roman"/>
          <w:sz w:val="24"/>
          <w:szCs w:val="24"/>
          <w:lang w:val="id-ID"/>
        </w:rPr>
        <w:t xml:space="preserve"> (memverifikasi/menarik kesimpulan) </w:t>
      </w:r>
      <w:r w:rsidR="005D38FD" w:rsidRPr="00D75340">
        <w:rPr>
          <w:rFonts w:ascii="Times New Roman" w:hAnsi="Times New Roman"/>
          <w:sz w:val="24"/>
          <w:szCs w:val="24"/>
          <w:lang w:val="id-ID"/>
        </w:rPr>
        <w:fldChar w:fldCharType="begin" w:fldLock="1"/>
      </w:r>
      <w:r w:rsidR="005D38FD" w:rsidRPr="00D75340">
        <w:rPr>
          <w:rFonts w:ascii="Times New Roman" w:hAnsi="Times New Roman"/>
          <w:sz w:val="24"/>
          <w:szCs w:val="24"/>
          <w:lang w:val="id-ID"/>
        </w:rPr>
        <w:instrText>ADDIN CSL_CITATION {"citationItems":[{"id":"ITEM-1","itemData":{"ISBN":"9786022893257","author":[{"dropping-particle":"","family":"Sugiyono","given":"","non-dropping-particle":"","parse-names":false,"suffix":""}],"id":"ITEM-1","issued":{"date-parts":[["2017"]]},"publisher":"Alfabeta","publisher-place":"Bandung","title":"Metode Penelitian Kualitatif","type":"book"},"uris":["http://www.mendeley.com/documents/?uuid=64a89ca4-eafb-44b8-a1ed-c42fa84d4b0f"]}],"mendeley":{"formattedCitation":"(Sugiyono, 2017)","plainTextFormattedCitation":"(Sugiyono, 2017)","previouslyFormattedCitation":"(Sugiyono, 2017)"},"properties":{"noteIndex":0},"schema":"https://github.com/citation-style-language/schema/raw/master/csl-citation.json"}</w:instrText>
      </w:r>
      <w:r w:rsidR="005D38FD" w:rsidRPr="00D75340">
        <w:rPr>
          <w:rFonts w:ascii="Times New Roman" w:hAnsi="Times New Roman"/>
          <w:sz w:val="24"/>
          <w:szCs w:val="24"/>
          <w:lang w:val="id-ID"/>
        </w:rPr>
        <w:fldChar w:fldCharType="separate"/>
      </w:r>
      <w:r w:rsidR="005D38FD" w:rsidRPr="00D75340">
        <w:rPr>
          <w:rFonts w:ascii="Times New Roman" w:hAnsi="Times New Roman"/>
          <w:noProof/>
          <w:sz w:val="24"/>
          <w:szCs w:val="24"/>
          <w:lang w:val="id-ID"/>
        </w:rPr>
        <w:t>(Sugiyono, 2017)</w:t>
      </w:r>
      <w:r w:rsidR="005D38FD" w:rsidRPr="00D75340">
        <w:rPr>
          <w:rFonts w:ascii="Times New Roman" w:hAnsi="Times New Roman"/>
          <w:sz w:val="24"/>
          <w:szCs w:val="24"/>
          <w:lang w:val="id-ID"/>
        </w:rPr>
        <w:fldChar w:fldCharType="end"/>
      </w:r>
      <w:r w:rsidR="005D38FD" w:rsidRPr="00D75340">
        <w:rPr>
          <w:rFonts w:ascii="Times New Roman" w:hAnsi="Times New Roman"/>
          <w:sz w:val="24"/>
          <w:szCs w:val="24"/>
          <w:lang w:val="id-ID"/>
        </w:rPr>
        <w:t>.</w:t>
      </w:r>
    </w:p>
    <w:p w:rsidR="00E00C37" w:rsidRPr="00D75340" w:rsidRDefault="00E00C37" w:rsidP="002879D9">
      <w:pPr>
        <w:pStyle w:val="ListParagraph"/>
        <w:ind w:left="0" w:firstLine="540"/>
        <w:jc w:val="both"/>
        <w:rPr>
          <w:rFonts w:ascii="Times New Roman" w:hAnsi="Times New Roman"/>
          <w:sz w:val="24"/>
          <w:szCs w:val="24"/>
          <w:lang w:val="id-ID"/>
        </w:rPr>
      </w:pPr>
    </w:p>
    <w:tbl>
      <w:tblPr>
        <w:tblStyle w:val="ab"/>
        <w:tblW w:w="90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061"/>
      </w:tblGrid>
      <w:tr w:rsidR="00DF294C" w:rsidRPr="00D75340">
        <w:trPr>
          <w:trHeight w:val="20"/>
        </w:trPr>
        <w:tc>
          <w:tcPr>
            <w:tcW w:w="9061" w:type="dxa"/>
            <w:shd w:val="clear" w:color="auto" w:fill="00B050"/>
            <w:vAlign w:val="center"/>
          </w:tcPr>
          <w:p w:rsidR="00DF294C" w:rsidRPr="00D75340" w:rsidRDefault="005D38FD" w:rsidP="005D38FD">
            <w:pPr>
              <w:pBdr>
                <w:top w:val="nil"/>
                <w:left w:val="nil"/>
                <w:bottom w:val="nil"/>
                <w:right w:val="nil"/>
                <w:between w:val="nil"/>
              </w:pBdr>
              <w:spacing w:after="0"/>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lastRenderedPageBreak/>
              <w:t>Hasil Penelitian dan Pembahasan</w:t>
            </w:r>
          </w:p>
        </w:tc>
      </w:tr>
    </w:tbl>
    <w:p w:rsidR="00D4307E" w:rsidRPr="00D75340" w:rsidRDefault="00D4307E" w:rsidP="00D4307E">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Penelitian diawali dengan memberikan angket keyakinan kepada mahasiswa calon guru matematika yang sedang menjalankan kampus mengajar di SMP Negeri 8 Merauke dan berjumlah sebanyak 6 mahasiswa. Keenam mahasiswa tersebut memiliki gender yang sama yaitu perempuan. Tahap selanjutnya yang dilakukan adalah menjumlahkan skor angket keyakinan matematika yang sudah diisi oleh masing-masing mahasiswa. Kemudian menentukan skor keyakinan dengan membagi total skor yang diperoleh dari angket dengan jumlah pertanyaan yang dijawab. Hasil perolehan skor angket mahasiswa dapat dilihat pada tabel 2.</w:t>
      </w:r>
    </w:p>
    <w:sdt>
      <w:sdtPr>
        <w:rPr>
          <w:lang w:val="id-ID"/>
        </w:rPr>
        <w:tag w:val="goog_rdk_0"/>
        <w:id w:val="468320034"/>
      </w:sdtPr>
      <w:sdtEndPr/>
      <w:sdtContent>
        <w:p w:rsidR="00DF294C" w:rsidRPr="00D75340" w:rsidRDefault="00D4307E">
          <w:pPr>
            <w:spacing w:after="0"/>
            <w:ind w:firstLine="567"/>
            <w:jc w:val="center"/>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Table 2</w:t>
          </w:r>
          <w:r w:rsidR="00983431" w:rsidRPr="00D75340">
            <w:rPr>
              <w:rFonts w:ascii="Times New Roman" w:eastAsia="Times New Roman" w:hAnsi="Times New Roman"/>
              <w:b/>
              <w:sz w:val="24"/>
              <w:szCs w:val="24"/>
              <w:lang w:val="id-ID"/>
            </w:rPr>
            <w:t xml:space="preserve">. </w:t>
          </w:r>
          <w:r w:rsidRPr="00D75340">
            <w:rPr>
              <w:rFonts w:ascii="Times New Roman" w:hAnsi="Times New Roman"/>
              <w:b/>
              <w:color w:val="000000" w:themeColor="text1"/>
              <w:sz w:val="24"/>
              <w:szCs w:val="24"/>
              <w:lang w:val="id-ID"/>
            </w:rPr>
            <w:t>Skor Angket Mahasiswa Calon Guru Matematika</w:t>
          </w:r>
        </w:p>
      </w:sdtContent>
    </w:sdt>
    <w:tbl>
      <w:tblPr>
        <w:tblStyle w:val="ac"/>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5"/>
        <w:gridCol w:w="1175"/>
        <w:gridCol w:w="715"/>
        <w:gridCol w:w="810"/>
        <w:gridCol w:w="1080"/>
        <w:gridCol w:w="1260"/>
        <w:gridCol w:w="2790"/>
      </w:tblGrid>
      <w:tr w:rsidR="00D4307E" w:rsidRPr="00D75340" w:rsidTr="00D4307E">
        <w:trPr>
          <w:jc w:val="center"/>
        </w:trPr>
        <w:tc>
          <w:tcPr>
            <w:tcW w:w="535"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No</w:t>
            </w:r>
          </w:p>
        </w:tc>
        <w:tc>
          <w:tcPr>
            <w:tcW w:w="1175"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Kode Nama</w:t>
            </w:r>
          </w:p>
        </w:tc>
        <w:tc>
          <w:tcPr>
            <w:tcW w:w="715"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IPK</w:t>
            </w:r>
          </w:p>
        </w:tc>
        <w:tc>
          <w:tcPr>
            <w:tcW w:w="810"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Skor Angket</w:t>
            </w:r>
          </w:p>
        </w:tc>
        <w:tc>
          <w:tcPr>
            <w:tcW w:w="1080"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Skor Keyakinan</w:t>
            </w:r>
          </w:p>
        </w:tc>
        <w:tc>
          <w:tcPr>
            <w:tcW w:w="1260"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Tipe Keyakinan</w:t>
            </w:r>
          </w:p>
        </w:tc>
        <w:tc>
          <w:tcPr>
            <w:tcW w:w="2790" w:type="dxa"/>
            <w:shd w:val="clear" w:color="auto" w:fill="00B050"/>
            <w:vAlign w:val="center"/>
          </w:tcPr>
          <w:p w:rsidR="00D4307E" w:rsidRPr="00D75340" w:rsidRDefault="00D4307E" w:rsidP="00D4307E">
            <w:pPr>
              <w:spacing w:after="0" w:line="240" w:lineRule="auto"/>
              <w:jc w:val="center"/>
              <w:rPr>
                <w:rFonts w:ascii="Times New Roman" w:eastAsia="Times New Roman" w:hAnsi="Times New Roman"/>
                <w:b/>
                <w:lang w:val="id-ID"/>
              </w:rPr>
            </w:pPr>
            <w:r w:rsidRPr="00D75340">
              <w:rPr>
                <w:rFonts w:ascii="Times New Roman" w:eastAsia="Times New Roman" w:hAnsi="Times New Roman"/>
                <w:b/>
                <w:lang w:val="id-ID"/>
              </w:rPr>
              <w:t>Total Memilih Jawaban Pernyataan Platonis</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w:t>
            </w:r>
          </w:p>
        </w:tc>
        <w:tc>
          <w:tcPr>
            <w:tcW w:w="117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DUK</w:t>
            </w:r>
          </w:p>
        </w:tc>
        <w:tc>
          <w:tcPr>
            <w:tcW w:w="71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3,88</w:t>
            </w:r>
          </w:p>
        </w:tc>
        <w:tc>
          <w:tcPr>
            <w:tcW w:w="81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42</w:t>
            </w:r>
          </w:p>
        </w:tc>
        <w:tc>
          <w:tcPr>
            <w:tcW w:w="108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2,1</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18</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2</w:t>
            </w:r>
          </w:p>
        </w:tc>
        <w:tc>
          <w:tcPr>
            <w:tcW w:w="117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MET</w:t>
            </w:r>
          </w:p>
        </w:tc>
        <w:tc>
          <w:tcPr>
            <w:tcW w:w="71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3,72</w:t>
            </w:r>
          </w:p>
        </w:tc>
        <w:tc>
          <w:tcPr>
            <w:tcW w:w="81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41</w:t>
            </w:r>
          </w:p>
        </w:tc>
        <w:tc>
          <w:tcPr>
            <w:tcW w:w="108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2,05</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15</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3</w:t>
            </w:r>
          </w:p>
        </w:tc>
        <w:tc>
          <w:tcPr>
            <w:tcW w:w="117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SN</w:t>
            </w:r>
          </w:p>
        </w:tc>
        <w:tc>
          <w:tcPr>
            <w:tcW w:w="71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3,69</w:t>
            </w:r>
          </w:p>
        </w:tc>
        <w:tc>
          <w:tcPr>
            <w:tcW w:w="81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42</w:t>
            </w:r>
          </w:p>
        </w:tc>
        <w:tc>
          <w:tcPr>
            <w:tcW w:w="108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2,1</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14</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4</w:t>
            </w:r>
          </w:p>
        </w:tc>
        <w:tc>
          <w:tcPr>
            <w:tcW w:w="117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AN</w:t>
            </w:r>
          </w:p>
        </w:tc>
        <w:tc>
          <w:tcPr>
            <w:tcW w:w="71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3,51</w:t>
            </w:r>
          </w:p>
        </w:tc>
        <w:tc>
          <w:tcPr>
            <w:tcW w:w="81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40</w:t>
            </w:r>
          </w:p>
        </w:tc>
        <w:tc>
          <w:tcPr>
            <w:tcW w:w="108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2,0</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14</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5</w:t>
            </w:r>
          </w:p>
        </w:tc>
        <w:tc>
          <w:tcPr>
            <w:tcW w:w="117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ER</w:t>
            </w:r>
          </w:p>
        </w:tc>
        <w:tc>
          <w:tcPr>
            <w:tcW w:w="71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3,48</w:t>
            </w:r>
          </w:p>
        </w:tc>
        <w:tc>
          <w:tcPr>
            <w:tcW w:w="81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40</w:t>
            </w:r>
          </w:p>
        </w:tc>
        <w:tc>
          <w:tcPr>
            <w:tcW w:w="108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2,0</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16</w:t>
            </w:r>
          </w:p>
        </w:tc>
      </w:tr>
      <w:tr w:rsidR="00D4307E" w:rsidRPr="00D75340" w:rsidTr="00D4307E">
        <w:trPr>
          <w:jc w:val="center"/>
        </w:trPr>
        <w:tc>
          <w:tcPr>
            <w:tcW w:w="535"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6</w:t>
            </w:r>
          </w:p>
        </w:tc>
        <w:tc>
          <w:tcPr>
            <w:tcW w:w="117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PYK</w:t>
            </w:r>
          </w:p>
        </w:tc>
        <w:tc>
          <w:tcPr>
            <w:tcW w:w="715"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3,45</w:t>
            </w:r>
          </w:p>
        </w:tc>
        <w:tc>
          <w:tcPr>
            <w:tcW w:w="81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40</w:t>
            </w:r>
          </w:p>
        </w:tc>
        <w:tc>
          <w:tcPr>
            <w:tcW w:w="1080" w:type="dxa"/>
            <w:vAlign w:val="center"/>
          </w:tcPr>
          <w:p w:rsidR="00D4307E" w:rsidRPr="00D75340" w:rsidRDefault="00E00C37">
            <w:pPr>
              <w:spacing w:after="0"/>
              <w:jc w:val="center"/>
              <w:rPr>
                <w:rFonts w:ascii="Times New Roman" w:eastAsia="Times New Roman" w:hAnsi="Times New Roman"/>
                <w:lang w:val="id-ID"/>
              </w:rPr>
            </w:pPr>
            <w:r w:rsidRPr="00D75340">
              <w:rPr>
                <w:rFonts w:ascii="Times New Roman" w:eastAsia="Times New Roman" w:hAnsi="Times New Roman"/>
                <w:lang w:val="id-ID"/>
              </w:rPr>
              <w:t>2,0</w:t>
            </w:r>
          </w:p>
        </w:tc>
        <w:tc>
          <w:tcPr>
            <w:tcW w:w="126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Platonis</w:t>
            </w:r>
          </w:p>
        </w:tc>
        <w:tc>
          <w:tcPr>
            <w:tcW w:w="2790" w:type="dxa"/>
            <w:vAlign w:val="center"/>
          </w:tcPr>
          <w:p w:rsidR="00D4307E" w:rsidRPr="00D75340" w:rsidRDefault="00D4307E">
            <w:pPr>
              <w:spacing w:after="0"/>
              <w:jc w:val="center"/>
              <w:rPr>
                <w:rFonts w:ascii="Times New Roman" w:eastAsia="Times New Roman" w:hAnsi="Times New Roman"/>
                <w:lang w:val="id-ID"/>
              </w:rPr>
            </w:pPr>
            <w:r w:rsidRPr="00D75340">
              <w:rPr>
                <w:rFonts w:ascii="Times New Roman" w:eastAsia="Times New Roman" w:hAnsi="Times New Roman"/>
                <w:lang w:val="id-ID"/>
              </w:rPr>
              <w:t>14</w:t>
            </w:r>
          </w:p>
        </w:tc>
      </w:tr>
    </w:tbl>
    <w:p w:rsidR="00DF294C" w:rsidRPr="00D75340" w:rsidRDefault="00DF294C">
      <w:pPr>
        <w:spacing w:after="0"/>
        <w:ind w:firstLine="567"/>
        <w:jc w:val="center"/>
        <w:rPr>
          <w:rFonts w:ascii="Times New Roman" w:eastAsia="Times New Roman" w:hAnsi="Times New Roman"/>
          <w:sz w:val="24"/>
          <w:szCs w:val="24"/>
          <w:lang w:val="id-ID"/>
        </w:rPr>
      </w:pPr>
    </w:p>
    <w:p w:rsidR="00E00C37" w:rsidRPr="00D75340" w:rsidRDefault="00E00C37" w:rsidP="00E00C37">
      <w:pPr>
        <w:spacing w:after="0"/>
        <w:ind w:firstLine="540"/>
        <w:jc w:val="both"/>
        <w:rPr>
          <w:rFonts w:ascii="Times New Roman" w:eastAsia="Times New Roman" w:hAnsi="Times New Roman"/>
          <w:sz w:val="24"/>
          <w:szCs w:val="24"/>
          <w:lang w:val="id-ID"/>
        </w:rPr>
      </w:pPr>
      <w:r w:rsidRPr="00D75340">
        <w:rPr>
          <w:rFonts w:ascii="Times New Roman" w:eastAsiaTheme="majorEastAsia" w:hAnsi="Times New Roman"/>
          <w:sz w:val="24"/>
          <w:szCs w:val="24"/>
          <w:lang w:val="id-ID"/>
        </w:rPr>
        <w:t xml:space="preserve">Dari tabel 2 dapat diketahui bahwa keenam mahasiswa memeroleh skor berkisar dari 2,0 </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 xml:space="preserve">2,1 yang berarti memiliki keyakinan tipe platonis. Hal tersebut disebabkan oleh keyakinan platonis memiliki rentang skor yaitu </w:t>
      </w:r>
      <w:r w:rsidRPr="00D75340">
        <w:rPr>
          <w:rFonts w:ascii="Times New Roman" w:eastAsia="Times" w:hAnsi="Times New Roman"/>
          <w:color w:val="000000"/>
          <w:sz w:val="24"/>
          <w:szCs w:val="24"/>
          <w:lang w:val="id-ID"/>
        </w:rPr>
        <w:t xml:space="preserve">1,67 ≤ S ≤ 2,3 </w:t>
      </w:r>
      <w:r w:rsidRPr="00D75340">
        <w:rPr>
          <w:rFonts w:ascii="Times New Roman" w:eastAsia="Times" w:hAnsi="Times New Roman"/>
          <w:color w:val="000000"/>
          <w:sz w:val="24"/>
          <w:szCs w:val="24"/>
          <w:lang w:val="id-ID"/>
        </w:rPr>
        <w:fldChar w:fldCharType="begin" w:fldLock="1"/>
      </w:r>
      <w:r w:rsidRPr="00D75340">
        <w:rPr>
          <w:rFonts w:ascii="Times New Roman" w:eastAsia="Times" w:hAnsi="Times New Roman"/>
          <w:color w:val="000000"/>
          <w:sz w:val="24"/>
          <w:szCs w:val="24"/>
          <w:lang w:val="id-ID"/>
        </w:rPr>
        <w:instrText>ADDIN CSL_CITATION {"citationItems":[{"id":"ITEM-1","itemData":{"ISBN":"1742-6596","abstract":"Weaknesses on problem solving of Indonesian students as reported by recent international surveys give rise to questions on how Indonesian teachers bring out idea of problem solving in mathematics lesson. An explorative study was undertaken to investigate how secondary teachers who teach mathematics at junior high school level understand and show belief toward mathematical problem solving. Participants were teachers from four cities in East Java province comprising 45 state teachers and 25 private teachers. Data was obtained through questionnaires and written test. The results of this study point out that the teachers understand pedagogical problem solving knowledge well as indicated by high score of observed teachers‘ responses showing understanding on problem solving as instruction as well as implementation of problem solving in teaching practice. However, they less understand on problem solving content knowledge such as problem solving strategies and meaning of problem itself. Regarding teacher’s difficulties, teachers admitted to most frequently fail in (1) determining a precise mathematical model or strategies when carrying out problem solving steps which is supported by data of test result that revealed transformation error as the most frequently observed errors in teachers’ work and (2) choosing suitable real situation when designing context-based problem solving task. Meanwhile, analysis of teacher’s beliefs on problem solving shows that teachers tend to view both mathematics and how students should learn mathematics as body static perspective, while they tend to believe to apply idea of problem solving as dynamic approach when teaching mathematics","author":[{"dropping-particle":"","family":"Siswono","given":"Tatag Yuli Eko","non-dropping-particle":"","parse-names":false,"suffix":""},{"dropping-particle":"","family":"Kohar","given":"Ahmad Wachidul","non-dropping-particle":"","parse-names":false,"suffix":""},{"dropping-particle":"","family":"Kurniasari","given":"Ika","non-dropping-particle":"","parse-names":false,"suffix":""},{"dropping-particle":"","family":"Astuti","given":"Yuliani Puji","non-dropping-particle":"","parse-names":false,"suffix":""}],"container-title":"Journal of Physics: Conference Series","id":"ITEM-1","issue":"1","issued":{"date-parts":[["2016"]]},"page":"1-19","publisher":"IOP Publishing","title":"An investigation of Secondary Teachers’ Understanding and Belief on Mathematical Problem Solving","type":"paper-conference","volume":"693"},"uris":["http://www.mendeley.com/documents/?uuid=98ef2781-897d-46e3-8084-fe1bb7883ade"]}],"mendeley":{"formattedCitation":"(Tatag Yuli Eko Siswono, Kohar, Kurniasari, et al., 2016)","manualFormatting":"(Siswono et al., 2016)","plainTextFormattedCitation":"(Tatag Yuli Eko Siswono, Kohar, Kurniasari, et al., 2016)","previouslyFormattedCitation":"(Tatag Yuli Eko Siswono, Kohar, Kurniasari, et al., 2016)"},"properties":{"noteIndex":0},"schema":"https://github.com/citation-style-language/schema/raw/master/csl-citation.json"}</w:instrText>
      </w:r>
      <w:r w:rsidRPr="00D75340">
        <w:rPr>
          <w:rFonts w:ascii="Times New Roman" w:eastAsia="Times" w:hAnsi="Times New Roman"/>
          <w:color w:val="000000"/>
          <w:sz w:val="24"/>
          <w:szCs w:val="24"/>
          <w:lang w:val="id-ID"/>
        </w:rPr>
        <w:fldChar w:fldCharType="separate"/>
      </w:r>
      <w:r w:rsidRPr="00D75340">
        <w:rPr>
          <w:rFonts w:ascii="Times New Roman" w:eastAsia="Times" w:hAnsi="Times New Roman"/>
          <w:noProof/>
          <w:color w:val="000000"/>
          <w:sz w:val="24"/>
          <w:szCs w:val="24"/>
          <w:lang w:val="id-ID"/>
        </w:rPr>
        <w:t>(Siswono et al., 2016)</w:t>
      </w:r>
      <w:r w:rsidRPr="00D75340">
        <w:rPr>
          <w:rFonts w:ascii="Times New Roman" w:eastAsia="Times" w:hAnsi="Times New Roman"/>
          <w:color w:val="000000"/>
          <w:sz w:val="24"/>
          <w:szCs w:val="24"/>
          <w:lang w:val="id-ID"/>
        </w:rPr>
        <w:fldChar w:fldCharType="end"/>
      </w:r>
      <w:r w:rsidRPr="00D75340">
        <w:rPr>
          <w:rFonts w:ascii="Times New Roman" w:eastAsia="Times" w:hAnsi="Times New Roman"/>
          <w:color w:val="000000"/>
          <w:sz w:val="24"/>
          <w:szCs w:val="24"/>
          <w:lang w:val="id-ID"/>
        </w:rPr>
        <w:t xml:space="preserve">. Oleh karena itu, diperoleh data keyakinan mahasiswa bahwa seluruh mahasiswa memiliki satu tipe keyakinan yaitu platonis. Keenam mahasiswa tersebut memiliki total memilih jawaban pernyataan platonis yang berbeda, dengan jumlah terbanyak pertama yaitu 18 jawaban platonis dan jumlah terbanyak kedua yaitu 16 jawaban platonis. Selain itu, tingkat kemampuan akademik (IPK) yang dimiliki keenam mahasiswa tersebut berdeda.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{"citationItems":[{"id":"ITEM-1","itemData":{"abstract":"This study aims to find out the use of application-based interactive learning media (kahoot), find out student learning outcomes after using application-based learning media (kahoot) and find out whether there is an effect of using application-based learning media (kahoot) on learning outcomes of class XI students at Al SMAI -Maarif Singosari.To achieve this goal, this research was conducted using a type of quantitative research using experimental methods with nonequivalent control group design. The research instruments in the form of tests and questionnaires were then tested for validity and reliability using the SPSS program. To test the hypothesis using a sample test paired sample t-test. The results of this study indicate that in the control class there is an average pretest value of 79.51 while the posttest mean value is 85.84 which is still lower than the experimental class. In the experimental class the average pretest score was 86.65 while the posttest average value was 91.84 higher than the control class. The average posttest value of the experimental class&gt; control class is 91.84&gt; 85.84 which means that the experimental class student learning outcomes are higher than the control class. In the paired t-test sample test, the test results obtained were sig-2 tailed at 0,000 &lt;0,05, it was concluded that the use of interactive learning media based on the kahoot application had an effect on the learning outcomes of class XI students at Singosari Malang SMAI Al-Maarif means that the use of application-based learning media is more effective.","author":[{"dropping-particle":"","family":"Anshori","given":"Moch Haris","non-dropping-particle":"","parse-names":false,"suffix":""},{"dropping-particle":"","family":"Sulistiani","given":"Ika Ratih","non-dropping-particle":"","parse-names":false,"suffix":""},{"dropping-particle":"","family":"Fita","given":"Mustafida","non-dropping-particle":"","parse-names":false,"suffix":""}],"container-title":"VICRATINA: Jurnal Pendidikan Islam","id":"ITEM-1","issue":"5","issued":{"date-parts":[["2019"]]},"page":"93-99","title":"Hubungan Self-Efficacy dan Adiksi Media Sosial dengan Prestasi Akademik Mahasiswa Fakultas Agama Islam","type":"article-journal","volume":"4"},"uris":["http://www.mendeley.com/documents/?uuid=1475ede8-89f3-4ffd-a969-2ecd77925cec"]}],"mendeley":{"formattedCitation":"(Anshori et al., 2019)","manualFormatting":"Anshori et al (2019)","plainTextFormattedCitation":"(Anshori et al., 2019)","previouslyFormattedCitation":"(Anshori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Anshori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menyatakan bahwa nilai IPK 3,51 – 4,00 masuk kategori tinggi, nilai IPK 2,76 – 3,50 masuk kategori sedang, dan nilai IPK 2,00 – 2,75 masuk kategori rendah. </w:t>
      </w:r>
      <w:r w:rsidRPr="00D75340">
        <w:rPr>
          <w:rFonts w:ascii="Times New Roman" w:eastAsia="Times" w:hAnsi="Times New Roman"/>
          <w:color w:val="000000"/>
          <w:sz w:val="24"/>
          <w:szCs w:val="24"/>
          <w:lang w:val="id-ID"/>
        </w:rPr>
        <w:t xml:space="preserve">Oleh karena itu, terdapat empat mahasiswa yang memiliki nilai IPK tinggi, dan dua mahasiswa memiliki nilai IPK sedang. Dengan menggunakan </w:t>
      </w:r>
      <w:r w:rsidRPr="00D75340">
        <w:rPr>
          <w:rFonts w:ascii="Times New Roman" w:hAnsi="Times New Roman"/>
          <w:i/>
          <w:sz w:val="24"/>
          <w:szCs w:val="24"/>
          <w:lang w:val="id-ID"/>
        </w:rPr>
        <w:t xml:space="preserve">purposive sampling </w:t>
      </w:r>
      <w:r w:rsidRPr="00D75340">
        <w:rPr>
          <w:rFonts w:ascii="Times New Roman" w:hAnsi="Times New Roman"/>
          <w:sz w:val="24"/>
          <w:szCs w:val="24"/>
          <w:lang w:val="id-ID"/>
        </w:rPr>
        <w:t>berdasarkan nilai IPK dan total jawaban pernyataan keyakinan platonis yang dipilih, maka diperoleh 2 mahasiswa calon guru matematika berkeyakinan platonis sebagai subjek penelitian yang selanjutnya akan diobservasi, diberikan tes, dan diwawancarai.</w:t>
      </w:r>
    </w:p>
    <w:p w:rsidR="00E00C37" w:rsidRPr="00D75340" w:rsidRDefault="00E00C37" w:rsidP="00E00C37">
      <w:pPr>
        <w:pStyle w:val="Heading3"/>
        <w:numPr>
          <w:ilvl w:val="0"/>
          <w:numId w:val="1"/>
        </w:numPr>
        <w:spacing w:before="0" w:after="0"/>
        <w:ind w:left="360"/>
        <w:jc w:val="both"/>
        <w:rPr>
          <w:rFonts w:ascii="Times New Roman" w:hAnsi="Times New Roman" w:cs="Times New Roman"/>
          <w:i/>
          <w:sz w:val="24"/>
          <w:szCs w:val="24"/>
          <w:lang w:val="id-ID"/>
        </w:rPr>
      </w:pPr>
      <w:bookmarkStart w:id="1" w:name="_Toc96237826"/>
      <w:bookmarkStart w:id="2" w:name="_Toc96238722"/>
      <w:bookmarkStart w:id="3" w:name="_Toc100015021"/>
      <w:r w:rsidRPr="00D75340">
        <w:rPr>
          <w:rFonts w:ascii="Times New Roman" w:hAnsi="Times New Roman" w:cs="Times New Roman"/>
          <w:i/>
          <w:sz w:val="24"/>
          <w:szCs w:val="24"/>
          <w:lang w:val="id-ID"/>
        </w:rPr>
        <w:t xml:space="preserve">Pedagogical Content Knowledge </w:t>
      </w:r>
      <w:r w:rsidRPr="00D75340">
        <w:rPr>
          <w:rFonts w:ascii="Times New Roman" w:hAnsi="Times New Roman" w:cs="Times New Roman"/>
          <w:sz w:val="24"/>
          <w:szCs w:val="24"/>
          <w:lang w:val="id-ID"/>
        </w:rPr>
        <w:t>Mahasiswa Calon Guru Matematika yang Berkeyakinan Platonis dan Memiliki IPK Tinggi</w:t>
      </w:r>
      <w:bookmarkEnd w:id="1"/>
      <w:bookmarkEnd w:id="2"/>
      <w:bookmarkEnd w:id="3"/>
    </w:p>
    <w:p w:rsidR="00E00C37" w:rsidRPr="00D75340" w:rsidRDefault="00E00C37" w:rsidP="00E00C37">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 xml:space="preserve">Pada komponen pengetahuan materi matematika, berdasarkan hasil observasi, soal tes, dan wawancara diperoleh data bahwa calon guru berkeyakinan platonis mampu menjelaskan dengan lancar materi himpunan yang sedang diajarkan sesuai dengan prosedur, jarang melihat buku, dan tidak terjadi kesalahan dalam penjelasannya. Selain itu, calon guru mampu mengaplikasikan suatu konsep himpunan menggunakan objek nyata dan masalah kontekstual, sehingga didukung oleh penelitian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author":[{"dropping-particle":"","family":"Irawan","given":"Yosie","non-dropping-particle":"","parse-names":false,"suffix":""},{"dropping-particle":"","family":"Purnamasari","given":"Inah","non-dropping-particle":"","parse-names":false,"suffix":""},{"dropping-particle":"","family":"Asfifah","given":"Refi Meilina","non-dropping-particle":"","parse-names":false,"suffix":""},{"dropping-particle":"","family":"Karami","given":"Yasid","non-dropping-particle":"","parse-names":false,"suffix":""},{"dropping-particle":"","family":"Alfiah","given":"Siti","non-dropping-particle":"","parse-names":false,"suffix":""}],"container-title":"Jurnal Ilmiah Mahasiswa Pendidikan Matematika","id":"ITEM-1","issue":"80","issued":{"date-parts":[["2021"]]},"page":"63-76","title":"Analisis Kompetensi Pedagogical Content Knowledge Mahasiswa Calon Guru Matematika","type":"article-journal","volume":"1"},"uris":["http://www.mendeley.com/documents/?uuid=60574df9-f4a5-485d-a2ca-9068de20c6d5"]}],"mendeley":{"formattedCitation":"(Irawan et al., 2021)","manualFormatting":"Irawan et al (2021)","plainTextFormattedCitation":"(Irawan et al., 2021)","previouslyFormattedCitation":"(Irawan et al., 2021)"},"properties":{"noteIndex":0},"schema":"https://github.com/citation-style-language/schema/raw/master/csl-citation.json"}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Irawan et al (2021)</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w:t>
      </w:r>
      <w:r w:rsidRPr="00D75340">
        <w:rPr>
          <w:rFonts w:ascii="Times New Roman" w:hAnsi="Times New Roman"/>
          <w:sz w:val="24"/>
          <w:szCs w:val="24"/>
          <w:lang w:val="id-ID"/>
        </w:rPr>
        <w:t xml:space="preserve">calon guru </w:t>
      </w:r>
      <w:r w:rsidRPr="00D75340">
        <w:rPr>
          <w:rFonts w:ascii="Times New Roman" w:hAnsi="Times New Roman"/>
          <w:sz w:val="24"/>
          <w:szCs w:val="24"/>
          <w:lang w:val="id-ID"/>
        </w:rPr>
        <w:lastRenderedPageBreak/>
        <w:t>matematika dengan kemampuan akademik sangat baik (IPK tinggi) memiliki kemampuan mengaitkan materi ajar dengan konteks kehidupan sehari-hari</w:t>
      </w:r>
      <w:r w:rsidRPr="00D75340">
        <w:rPr>
          <w:rFonts w:ascii="Times New Roman" w:eastAsiaTheme="majorEastAsia" w:hAnsi="Times New Roman"/>
          <w:sz w:val="24"/>
          <w:szCs w:val="24"/>
          <w:lang w:val="id-ID"/>
        </w:rPr>
        <w:t xml:space="preserve">. Calon guru juga mampu </w:t>
      </w:r>
      <w:r w:rsidRPr="00D75340">
        <w:rPr>
          <w:rFonts w:ascii="Times New Roman" w:hAnsi="Times New Roman"/>
          <w:bCs/>
          <w:sz w:val="24"/>
          <w:szCs w:val="24"/>
          <w:lang w:val="id-ID"/>
        </w:rPr>
        <w:t xml:space="preserve">menyatakan ulang suatu konsep materi himpunan dengan menggunakan kalimat sendiri yang disesuaikan dengan siswa. Selain itu, calon guru </w:t>
      </w:r>
      <w:r w:rsidRPr="00D75340">
        <w:rPr>
          <w:rFonts w:ascii="Times New Roman" w:eastAsiaTheme="majorEastAsia" w:hAnsi="Times New Roman"/>
          <w:sz w:val="24"/>
          <w:szCs w:val="24"/>
          <w:lang w:val="id-ID"/>
        </w:rPr>
        <w:t xml:space="preserve">mampu mengaitkan materi himpunan dengan materi lain seperti </w:t>
      </w:r>
      <w:r w:rsidRPr="00D75340">
        <w:rPr>
          <w:rFonts w:ascii="Times New Roman" w:hAnsi="Times New Roman"/>
          <w:bCs/>
          <w:sz w:val="24"/>
          <w:szCs w:val="24"/>
          <w:lang w:val="id-ID"/>
        </w:rPr>
        <w:t xml:space="preserve">bilangan cacah, bilangan prima, bilangan kelipatan, dan faktor dari sebuah bilangan </w:t>
      </w:r>
      <w:r w:rsidRPr="00D75340">
        <w:rPr>
          <w:rFonts w:ascii="Times New Roman" w:eastAsiaTheme="majorEastAsia" w:hAnsi="Times New Roman"/>
          <w:sz w:val="24"/>
          <w:szCs w:val="24"/>
          <w:lang w:val="id-ID"/>
        </w:rPr>
        <w:t xml:space="preserve">yang dapat mendukung pemahaman siswa. Kondisi tersebut didukung oleh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{"citationItems":[{"id":"ITEM-1","itemData":{"DOI":"10.1080/03098771003695445","ISSN":"0309877X","abstract":"This article describes some outcomes of a nine-month design-based research study into the professional development of 24 numeracy teachers with post-16 learners. Teachers analysed research-based principles for teaching, and engaged in a design-research process by testing and refining teaching activities to embody these principles. Data from questionnaires, interviews and classroom observations suggest that many of the teachers' practices and beliefs were profoundly affected. Practices became less transmission-oriented and teachers began to create new, collaborative learning environments where students were challenged to confront difficulties and take on more active classroom roles. Changes in beliefs regarding mathematics, learning and teaching are also described and discussed. © 2010 UCU.","author":[{"dropping-particle":"","family":"Swan","given":"Malcolm","non-dropping-particle":"","parse-names":false,"suffix":""},{"dropping-particle":"","family":"Swain","given":"Jon","non-dropping-particle":"","parse-names":false,"suffix":""}],"container-title":"Journal of Further and Higher Education","id":"ITEM-1","issue":"2","issued":{"date-parts":[["2010"]]},"page":"165-177","title":"The Impact of A Professional Development Programme on the Practices and Beliefs of Numeracy Teachers","type":"article-journal","volume":"34"},"uris":["http://www.mendeley.com/documents/?uuid=253e4c62-e3bf-43aa-9d55-656d42be834e"]}],"mendeley":{"formattedCitation":"(Swan &amp; Swain, 2010)","manualFormatting":"Swan &amp; Swain (2010)","plainTextFormattedCitation":"(Swan &amp; Swain, 2010)","previouslyFormattedCitation":"(Swan &amp; Swain, 2010)"},"properties":{"noteIndex":0},"schema":"https://github.com/citation-style-language/schema/raw/master/csl-citation.json"}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Swan &amp; Swain (2010)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 xml:space="preserve">yang menyatakan bahwa keyakinan platonis memandang materi matematika sebagai pokok bahasan yang kreatif, sehingga guru harus memberikan penjelasan serta memungkinkan untuk membantu siswa dalam menyusun pemahaman konsep. Hal tersebut menunjukkan bahwa calon guru memiliki kemampuan untuk membantu siswa menemukan pemahamannya terhadap materi himpunan yaitu dengan memberikan penjelasan pada </w:t>
      </w:r>
      <w:r w:rsidRPr="00D75340">
        <w:rPr>
          <w:rFonts w:ascii="Times New Roman" w:hAnsi="Times New Roman"/>
          <w:bCs/>
          <w:sz w:val="24"/>
          <w:szCs w:val="24"/>
          <w:lang w:val="id-ID"/>
        </w:rPr>
        <w:t>suatu konsep himpunan menggunakan kalimat sendiri yang disesuaikan dengan siswa</w:t>
      </w:r>
      <w:r w:rsidRPr="00D75340">
        <w:rPr>
          <w:rFonts w:ascii="Times New Roman" w:eastAsiaTheme="majorEastAsia" w:hAnsi="Times New Roman"/>
          <w:sz w:val="24"/>
          <w:szCs w:val="24"/>
          <w:lang w:val="id-ID"/>
        </w:rPr>
        <w:t>, mengaitkan materi himpunan dengan materi lain, dan mengaplikasikan suatu konsep himpunan menggunakan objek nyata dan masalah kontekstual.</w:t>
      </w:r>
    </w:p>
    <w:p w:rsidR="00E00C37" w:rsidRPr="00D75340" w:rsidRDefault="00E00C37" w:rsidP="00E00C37">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 xml:space="preserve">Pemahaman calon guru mengenai konsep himpunan hanya menjelaskan definisi himpunan secara umum tanpa memberikan contohnya. Sedangkan konsep himpunan yang telah diajarkan tidak hanya mengenai definisi himpunan tetapi anggota himpunan, kardinalitas himpunan, penyajian himpunan, himpunan berhingga, himpunan tak berhingga, himpunan kosong, himpunan semesta, komplemen himpunan, diagram venn, dan relasi himpunan juga termasuk konsep himpunan. Kemudian, pemahaman calon guru mengenai macam-macam himpunan yaitu mampu menjelaskan definisi secara umum dan memahami simbol tanpa memberikan contoh. Calon guru menjelaskan dengan tepat macam-macam himpunan hanya himpunan semesta dan himpunan kosong, sedangkan definisi himpunan bagian masih kurang tepat. Calon guru hanya mampu menyebutkan dan menjelaskan macam-macam himpunan yang sering didengar, sedangkan macam-macam himpunan lainnya seperti himpunan berhingga, himpunan tak berhingga, himpunan sama, dan himpunan ekuivalen tidak disebutkan. Selain itu, pemahaman calon guru mengenai jenis operasi pada himpunan yaitu mampu menjelaskan definisi secara umum dan memahami arti dari simbol operasi himpunan. Jenis operasi himpunan yang dapat dipahami yaitu gabungan, irisan, dan komplemen himpunan. Sedangkan mengenai selisih himpunan calon guru hanya memahami simbol dari selisih himpunan tetapi belum memahami konsepnya. Penjelasan tersebut sesuai dengan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{"citationItems":[{"id":"ITEM-1","itemData":{"author":[{"dropping-particle":"","family":"Siswono","given":"Tatag Yuli Eko","non-dropping-particle":"","parse-names":false,"suffix":""},{"dropping-particle":"","family":"Kohar","given":"Ahmad Wachidul","non-dropping-particle":"","parse-names":false,"suffix":""},{"dropping-particle":"","family":"Hartono","given":"Sugi","non-dropping-particle":"","parse-names":false,"suffix":""}],"editor":[{"dropping-particle":"","family":"Siswono","given":"Tatag Yuli Eko","non-dropping-particle":"","parse-names":false,"suffix":""}],"id":"ITEM-1","issued":{"date-parts":[["2016"]]},"page":"453-470","publisher":"Unesa Unversity Press","title":"KEYAKINAN, PENGETAHUAN, DAN PRAKTIK GURU DALAM PEMECAHAN MASALAH MATEMATIKA","type":"paper-conference"},"uris":["http://www.mendeley.com/documents/?uuid=3278af5d-fa06-484b-bafd-7ea9172fdd65"]}],"mendeley":{"formattedCitation":"(Tatag Yuli Eko Siswono, Kohar, &amp; Hartono, 2016)","manualFormatting":"Siswono et al (2016)","plainTextFormattedCitation":"(Tatag Yuli Eko Siswono, Kohar, &amp; Hartono, 2016)","previouslyFormattedCitation":"(Tatag Yuli Eko Siswono, Kohar, &amp; Hartono, 2016)"},"properties":{"noteIndex":0},"schema":"https://github.com/citation-style-language/schema/raw/master/csl-citation.json"}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Siswono et al (2016)</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jika calon guru yang berkeyakinan platonis memandang matematika sebagai pengetahuan yang tetap dan jelas. Hal tersebut menunjukkan bahwa pemahaman calon guru mengenai konsep himpunan, macam-macam himpunan, dan jenis operasi pada himpunan yaitu memahami definisi secara umum sebagai pengetahuan yang tetap, serta dalam memahami definisi tersebut calon guru juga memahami simbol-simbolnya sebagai pengetahuan yang jelas.</w:t>
      </w:r>
    </w:p>
    <w:p w:rsidR="00E00C37" w:rsidRPr="00D75340" w:rsidRDefault="00E00C37" w:rsidP="00E00C37">
      <w:pPr>
        <w:pStyle w:val="ListParagraph"/>
        <w:ind w:left="0" w:firstLine="540"/>
        <w:jc w:val="both"/>
        <w:rPr>
          <w:rFonts w:ascii="Times New Roman" w:hAnsi="Times New Roman"/>
          <w:sz w:val="24"/>
          <w:szCs w:val="24"/>
          <w:lang w:val="id-ID"/>
        </w:rPr>
      </w:pPr>
      <w:r w:rsidRPr="00D75340">
        <w:rPr>
          <w:rFonts w:ascii="Times New Roman" w:eastAsiaTheme="majorEastAsia" w:hAnsi="Times New Roman"/>
          <w:sz w:val="24"/>
          <w:szCs w:val="24"/>
          <w:lang w:val="id-ID"/>
        </w:rPr>
        <w:t xml:space="preserve">Dari penjelasan </w:t>
      </w:r>
      <w:r w:rsidRPr="00D75340">
        <w:rPr>
          <w:rFonts w:ascii="Times New Roman" w:hAnsi="Times New Roman"/>
          <w:sz w:val="24"/>
          <w:szCs w:val="24"/>
          <w:lang w:val="id-ID"/>
        </w:rPr>
        <w:t xml:space="preserve">mengenai pengetahuan </w:t>
      </w:r>
      <w:r w:rsidRPr="00D75340">
        <w:rPr>
          <w:rFonts w:ascii="Times New Roman" w:eastAsiaTheme="majorEastAsia" w:hAnsi="Times New Roman"/>
          <w:sz w:val="24"/>
          <w:szCs w:val="24"/>
          <w:lang w:val="id-ID"/>
        </w:rPr>
        <w:t>terhadap</w:t>
      </w:r>
      <w:r w:rsidRPr="00D75340">
        <w:rPr>
          <w:rFonts w:ascii="Times New Roman" w:hAnsi="Times New Roman"/>
          <w:sz w:val="24"/>
          <w:szCs w:val="24"/>
          <w:lang w:val="id-ID"/>
        </w:rPr>
        <w:t xml:space="preserve"> materi matematika yang dimiliki </w:t>
      </w:r>
      <w:r w:rsidRPr="00D75340">
        <w:rPr>
          <w:rFonts w:ascii="Times New Roman" w:eastAsiaTheme="majorEastAsia" w:hAnsi="Times New Roman"/>
          <w:sz w:val="24"/>
          <w:szCs w:val="24"/>
          <w:lang w:val="id-ID"/>
        </w:rPr>
        <w:t xml:space="preserve">calon guru, </w:t>
      </w:r>
      <w:r w:rsidRPr="00D75340">
        <w:rPr>
          <w:rFonts w:ascii="Times New Roman" w:hAnsi="Times New Roman"/>
          <w:sz w:val="24"/>
          <w:szCs w:val="24"/>
          <w:lang w:val="id-ID"/>
        </w:rPr>
        <w:t xml:space="preserve">hasil penelitian ini didukung hasil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bahwa calon guru matematika dengan kemampuan akademik sangat baik (IPK tinggi) mampu menyatakan definisi dan menggunakan notasi dengan tepat. </w:t>
      </w:r>
      <w:r w:rsidRPr="00D75340">
        <w:rPr>
          <w:rFonts w:ascii="Times New Roman" w:eastAsiaTheme="majorEastAsia" w:hAnsi="Times New Roman"/>
          <w:sz w:val="24"/>
          <w:szCs w:val="24"/>
          <w:lang w:val="id-ID"/>
        </w:rPr>
        <w:t>Hal tersebut dikarenakan pada penelitian ini calon guru dengan IPK baik mampu menyatakan definisi dan menggunakan notasi mengenai materi himpunan dengan tepat.</w:t>
      </w:r>
      <w:r w:rsidRPr="00D75340">
        <w:rPr>
          <w:rFonts w:ascii="Times New Roman" w:hAnsi="Times New Roman"/>
          <w:sz w:val="24"/>
          <w:szCs w:val="24"/>
          <w:lang w:val="id-ID"/>
        </w:rPr>
        <w:t xml:space="preserve"> Selain itu, hasil penelitian ini didukung hasil </w:t>
      </w:r>
      <w:r w:rsidRPr="00D75340">
        <w:rPr>
          <w:rFonts w:ascii="Times New Roman" w:hAnsi="Times New Roman"/>
          <w:sz w:val="24"/>
          <w:szCs w:val="24"/>
          <w:lang w:val="id-ID"/>
        </w:rPr>
        <w:lastRenderedPageBreak/>
        <w:t xml:space="preserve">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Dassa","given":"Awi","non-dropping-particle":"","parse-names":false,"suffix":""},{"dropping-particle":"","family":"Arwadi","given":"Fajar","non-dropping-particle":"","parse-names":false,"suffix":""},{"dropping-particle":"","family":"Faradiyah","given":"Andi Rafiqa","non-dropping-particle":"","parse-names":false,"suffix":""}],"container-title":"Issues in Mathematics Education","id":"ITEM-1","issue":"2","issued":{"date-parts":[["2020"]]},"page":"208-216","title":"Deskripsi Pengetahuan Konten Pedagogi Mahasiswa Calon Guru Jurusan Matematika FMIPA UNM","type":"article-journal","volume":"4"},"uris":["http://www.mendeley.com/documents/?uuid=e47b3adf-8cee-4897-ac92-ec9fe190dcd2"]}],"mendeley":{"formattedCitation":"(Dassa et al., 2020)","manualFormatting":"Dassa et al (2020)","plainTextFormattedCitation":"(Dassa et al., 2020)","previouslyFormattedCitation":"(Dassa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Dassa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jika pengetahuan calon guru terkait materi matematika belum merata. Hal tersebut dikarenakan pada penelitian ini secara keseluruhan yang ditanyakan mengenai himpunan belum dapat dipahami dengan tepat oleh calon guru.</w:t>
      </w:r>
    </w:p>
    <w:p w:rsidR="00E00C37" w:rsidRPr="00D75340" w:rsidRDefault="00E00C37" w:rsidP="00E00C37">
      <w:pPr>
        <w:pStyle w:val="ListParagraph"/>
        <w:ind w:left="0" w:firstLine="540"/>
        <w:jc w:val="both"/>
        <w:rPr>
          <w:rFonts w:ascii="Times New Roman" w:hAnsi="Times New Roman"/>
          <w:sz w:val="24"/>
          <w:szCs w:val="24"/>
          <w:lang w:val="id-ID"/>
        </w:rPr>
      </w:pPr>
      <w:r w:rsidRPr="00D75340">
        <w:rPr>
          <w:rFonts w:ascii="Times New Roman" w:eastAsiaTheme="majorEastAsia" w:hAnsi="Times New Roman"/>
          <w:sz w:val="24"/>
          <w:szCs w:val="24"/>
          <w:lang w:val="id-ID"/>
        </w:rPr>
        <w:t xml:space="preserve">Pada komponen pengetahuan mengajar, berdasarkan hasil observasi, dan wawancara, calon guru berkeyakinan platonis menyampaikan tujuan pembelajaran himpunan yang akan dipelajari pada pertemuan tersebut kepada siswa, sehingga calon guru dapat mengatur antara waktu dan materi yang akan disampaikan agar tujuan tersebut dapat terpenuhi. Tujuan pembelajaran yang disampaikan calon guru mengikuti tujuan yang tertera dalam buku cetak. </w:t>
      </w:r>
      <w:r w:rsidRPr="00D75340">
        <w:rPr>
          <w:rFonts w:ascii="Times New Roman" w:hAnsi="Times New Roman"/>
          <w:sz w:val="24"/>
          <w:szCs w:val="24"/>
          <w:lang w:val="id-ID"/>
        </w:rPr>
        <w:t xml:space="preserve">Selain itu,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mampu menginformasikan bahwa strategi pembelajaran yang digunakan adalah strategi ekspositori. Karena dari penyiapan bahan materi dan cara siswa mendapatkan pemahaman belajar masih dari </w:t>
      </w:r>
      <w:r w:rsidRPr="00D75340">
        <w:rPr>
          <w:rFonts w:ascii="Times New Roman" w:eastAsiaTheme="majorEastAsia" w:hAnsi="Times New Roman"/>
          <w:sz w:val="24"/>
          <w:szCs w:val="24"/>
          <w:lang w:val="id-ID"/>
        </w:rPr>
        <w:t>calon guru, serta strategi pembelajaran ekspositori merupakan strategi pembelajaran yang berpusat pada guru, sehingga hal t</w:t>
      </w:r>
      <w:r w:rsidRPr="00D75340">
        <w:rPr>
          <w:rFonts w:ascii="Times New Roman" w:hAnsi="Times New Roman"/>
          <w:sz w:val="24"/>
          <w:szCs w:val="24"/>
          <w:lang w:val="id-ID"/>
        </w:rPr>
        <w:t xml:space="preserve">ersebut sesuai dengan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{"citationItems":[{"id":"ITEM-1","itemData":{"DOI":"10.29333/ejmste/93179","ISSN":"13058223","abstract":"The purpose of this paper is to examine the relationships between preservice secondary mathematics teachers’ beliefs and knowledge regarding teaching mathematics with technology. By conducting three semi-structured interviews, I investigated four preservice secondary mathematics teachers’ technological, pedagogical, and content knowledge (TPACK) and their beliefs about the nature of mathematics, learning and teaching mathematics, and technology use in the mathematics classroom. The findings of this study suggest that preservice teachers with constructivist-oriented or student centered beliefs about the nature of mathematics, learning mathematics, and technology use displayed higher levels of mathematical knowledge, pedagogical content knowledge, and technological content knowledge, respectively, than preservice teachers with traditional or teacher-centered beliefs about mathematics, learning, and technology use","author":[{"dropping-particle":"","family":"Kim","given":"Somin","non-dropping-particle":"","parse-names":false,"suffix":""}],"container-title":"Eurasia Journal of Mathematics, Science and Technology Education","id":"ITEM-1","issue":"10","issued":{"date-parts":[["2018"]]},"page":"1-24","title":"Technological, Pedagogical, and Content Knowledge (TPACK) and Beliefs of Preservice Secondary Mathematics Teachers: Examining the Relationships","type":"article-journal","volume":"14"},"uris":["http://www.mendeley.com/documents/?uuid=24fc9090-c1a5-4fc5-a3fd-0384472cb570"]}],"mendeley":{"formattedCitation":"(Kim, 2018)","manualFormatting":"Kim (2018)","plainTextFormattedCitation":"(Kim, 2018)","previouslyFormattedCitation":"(Kim, 2018)"},"properties":{"noteIndex":0},"schema":"https://github.com/citation-style-language/schema/raw/master/csl-citation.json"}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Kim (2018)</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calon guru dengan pandangan platonis akan melakukan pembelajaran menggunakan pendekatan yang berpusat pada guru. Calon guru</w:t>
      </w:r>
      <w:r w:rsidRPr="00D75340">
        <w:rPr>
          <w:rFonts w:ascii="Times New Roman" w:hAnsi="Times New Roman"/>
          <w:sz w:val="24"/>
          <w:szCs w:val="24"/>
          <w:lang w:val="id-ID"/>
        </w:rPr>
        <w:t xml:space="preserve"> mengatakan strategi ekspositori dapat membantu mengetahui miskonsepsi dan kesulitan yang dialami siswa karena melakukan metode tanya jawab. Ketika mengajar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menggunakan representasi berupa simbol, notasi, dan gambar untuk membantu siswa dalam memahami himpunan.</w:t>
      </w:r>
    </w:p>
    <w:p w:rsidR="00E00C37" w:rsidRPr="00D75340" w:rsidRDefault="00E00C37" w:rsidP="00E00C37">
      <w:pPr>
        <w:pStyle w:val="ListParagraph"/>
        <w:ind w:left="0" w:firstLine="540"/>
        <w:jc w:val="both"/>
        <w:rPr>
          <w:rFonts w:ascii="Times New Roman" w:hAnsi="Times New Roman"/>
          <w:sz w:val="24"/>
          <w:szCs w:val="24"/>
          <w:lang w:val="id-ID"/>
        </w:rPr>
      </w:pPr>
      <w:r w:rsidRPr="00D75340">
        <w:rPr>
          <w:rFonts w:ascii="Times New Roman" w:hAnsi="Times New Roman"/>
          <w:bCs/>
          <w:iCs/>
          <w:color w:val="000000" w:themeColor="text1"/>
          <w:sz w:val="24"/>
          <w:szCs w:val="24"/>
          <w:lang w:val="id-ID"/>
        </w:rPr>
        <w:t xml:space="preserve">Cara </w:t>
      </w:r>
      <w:r w:rsidRPr="00D75340">
        <w:rPr>
          <w:rFonts w:ascii="Times New Roman" w:eastAsiaTheme="majorEastAsia" w:hAnsi="Times New Roman"/>
          <w:sz w:val="24"/>
          <w:szCs w:val="24"/>
          <w:lang w:val="id-ID"/>
        </w:rPr>
        <w:t>calon guru</w:t>
      </w:r>
      <w:r w:rsidRPr="00D75340">
        <w:rPr>
          <w:rFonts w:ascii="Times New Roman" w:hAnsi="Times New Roman"/>
          <w:bCs/>
          <w:iCs/>
          <w:color w:val="000000" w:themeColor="text1"/>
          <w:sz w:val="24"/>
          <w:szCs w:val="24"/>
          <w:lang w:val="id-ID"/>
        </w:rPr>
        <w:t xml:space="preserve"> mengarjakan konsep himpunan yaitu diawali dengan meminta siswa membacakan definisi dari konsep himpunan agar siswa dapat membuka cakrawala pemikirannya. Setelah siswa membaca, </w:t>
      </w:r>
      <w:r w:rsidRPr="00D75340">
        <w:rPr>
          <w:rFonts w:ascii="Times New Roman" w:eastAsiaTheme="majorEastAsia" w:hAnsi="Times New Roman"/>
          <w:sz w:val="24"/>
          <w:szCs w:val="24"/>
          <w:lang w:val="id-ID"/>
        </w:rPr>
        <w:t>calon guru</w:t>
      </w:r>
      <w:r w:rsidRPr="00D75340">
        <w:rPr>
          <w:rFonts w:ascii="Times New Roman" w:hAnsi="Times New Roman"/>
          <w:bCs/>
          <w:iCs/>
          <w:color w:val="000000" w:themeColor="text1"/>
          <w:sz w:val="24"/>
          <w:szCs w:val="24"/>
          <w:lang w:val="id-ID"/>
        </w:rPr>
        <w:t xml:space="preserve"> akan mengulangi definisi tersebut dengan menggunakan kalimat sendiri yang lebih sederhana agar siswa lebih paham. Kemudian, </w:t>
      </w:r>
      <w:r w:rsidRPr="00D75340">
        <w:rPr>
          <w:rFonts w:ascii="Times New Roman" w:eastAsiaTheme="majorEastAsia" w:hAnsi="Times New Roman"/>
          <w:sz w:val="24"/>
          <w:szCs w:val="24"/>
          <w:lang w:val="id-ID"/>
        </w:rPr>
        <w:t>calon guru</w:t>
      </w:r>
      <w:r w:rsidRPr="00D75340">
        <w:rPr>
          <w:rFonts w:ascii="Times New Roman" w:hAnsi="Times New Roman"/>
          <w:bCs/>
          <w:iCs/>
          <w:color w:val="000000" w:themeColor="text1"/>
          <w:sz w:val="24"/>
          <w:szCs w:val="24"/>
          <w:lang w:val="id-ID"/>
        </w:rPr>
        <w:t xml:space="preserve"> memberikan contoh-contoh yang menerapkan konsep himpunan menggunakan objek nyata dan masalah kontekstual agar dapat membantu siswa dalam menyusun pemahamannya. Setelah itu,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w:t>
      </w:r>
      <w:r w:rsidRPr="00D75340">
        <w:rPr>
          <w:rFonts w:ascii="Times New Roman" w:hAnsi="Times New Roman"/>
          <w:bCs/>
          <w:iCs/>
          <w:color w:val="000000" w:themeColor="text1"/>
          <w:sz w:val="24"/>
          <w:szCs w:val="24"/>
          <w:lang w:val="id-ID"/>
        </w:rPr>
        <w:t xml:space="preserve">akan memberikan contoh soal dan latihan </w:t>
      </w:r>
      <w:r w:rsidRPr="00D75340">
        <w:rPr>
          <w:rFonts w:ascii="Times New Roman" w:hAnsi="Times New Roman"/>
          <w:sz w:val="24"/>
          <w:szCs w:val="24"/>
          <w:lang w:val="id-ID"/>
        </w:rPr>
        <w:t xml:space="preserve">yang sesuai dengan konsep himpunan agar siswa lebih memahami materi yang sedang dipelajari. Dengan demikian,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mengutamakan pemahaman yang siswa bangun terhadap konsep himpunan dengan bantuan dari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Hal tersebut sesuai dengan keyakinan platonis terhadap pengajaran matematika yang menyatakan bahwa mengajar matematika akan fokus pada materi untuk menekankan pada pemahaman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{"citationItems":[{"id":"ITEM-1","itemData":{"ISBN":"9786027340312","abstract":"Keyakinan merupakan bagian dari domain afektif selain perasaan dan suasana hati. Banyak penelitian telah dilakukan yang menunjukkan bahwa keyakinan matematika guru berpengaruh ketika mereka mengajar dan pendidikan guru berpengaruh dalam pembentukan keyakinan matematika calon guru. Kajian literatur ini dilakukan dengan mensintesis pandangan ahli tentang tiga tipe keyakinan matematika guru, yaitu keyakinan konstruktivis atau pemecahan masalah, platonis, dan instrumentalis. Keyakinan matematika konstruktivis menunjukkan tipe keyakinan ideal dibandingkan dua tipe keyakinan yang lain. Untuk mencapai keyakinan ideal tersebut, guru perlu mengembangkan pengetahuan dan pengalaman mengenai hakikat matematika, belajar matematika, dan mengajar matematika yang mampu meningkatkan cara berpikir dan daya eksplorasi matematika","author":[{"dropping-particle":"","family":"Novikasari","given":"Ifada","non-dropping-particle":"","parse-names":false,"suffix":""}],"container-title":"Seminar Nasional Matematikan dan Pendidikan Matematika UNY","id":"ITEM-1","issued":{"date-parts":[["2016"]]},"page":"377-380","title":"Tiga Tipe Keyakinan Matematika Guru","type":"article-journal"},"uris":["http://www.mendeley.com/documents/?uuid=0345a514-0ed3-47fd-a976-5c969af8f2e9"]}],"mendeley":{"formattedCitation":"(Novikasari, 2016)","plainTextFormattedCitation":"(Novikasari, 2016)","previouslyFormattedCitation":"(Novikasari,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(Novikasari,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karena calon guru melakukan pengajaran yang menekankan pada proses penyampaian materi secara verbal dengan tujuan agar siswa dapat menguasai materi pelajaran secara optimal</w:t>
      </w:r>
      <w:r w:rsidRPr="00D75340">
        <w:rPr>
          <w:rFonts w:ascii="Times New Roman" w:eastAsiaTheme="majorEastAsia" w:hAnsi="Times New Roman"/>
          <w:sz w:val="24"/>
          <w:szCs w:val="24"/>
          <w:lang w:val="id-ID"/>
        </w:rPr>
        <w:t>.</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{"citationItems":[{"id":"ITEM-1","itemData":{"ISBN":"978-623-6910-13-9","author":[{"dropping-particle":"","family":"Siswono","given":"Tatag Yuli Eko","non-dropping-particle":"","parse-names":false,"suffix":""},{"dropping-particle":"","family":"Kohar","given":"Ahmad Wachidul","non-dropping-particle":"","parse-names":false,"suffix":""},{"dropping-particle":"","family":"Kurniasari","given":"Ika","non-dropping-particle":"","parse-names":false,"suffix":""},{"dropping-particle":"","family":"Astuti","given":"Yuliani Puji","non-dropping-particle":"","parse-names":false,"suffix":""},{"dropping-particle":"","family":"Hartono","given":"Sugi","non-dropping-particle":"","parse-names":false,"suffix":""}],"id":"ITEM-1","issued":{"date-parts":[["2020"]]},"publisher":"Pagan Press","publisher-place":"Lamongan","title":"Keyakinan, Pengetahuan, dan Praktik Guru Dalam Pemecahan Masalah Matematika","type":"book"},"uris":["http://www.mendeley.com/documents/?uuid=d2722bfd-a609-4c7b-8d31-d81d457fbb7a"]}],"mendeley":{"formattedCitation":"(Tatag Yuli Eko Siswono et al., 2020)","manualFormatting":"Siswono et al (2020)","plainTextFormattedCitation":"(Tatag Yuli Eko Siswono et al., 2020)","previouslyFormattedCitation":"(Tatag Yuli Eko Siswono et al., 2020)"},"properties":{"noteIndex":0},"schema":"https://github.com/citation-style-language/schema/raw/master/csl-citation.json"}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Siswono et al (2020)</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juga</w:t>
      </w:r>
      <w:r w:rsidRPr="00D75340">
        <w:rPr>
          <w:rFonts w:ascii="Times New Roman" w:eastAsiaTheme="majorEastAsia" w:hAnsi="Times New Roman"/>
          <w:color w:val="C00000"/>
          <w:sz w:val="24"/>
          <w:szCs w:val="24"/>
          <w:lang w:val="id-ID"/>
        </w:rPr>
        <w:t xml:space="preserve"> </w:t>
      </w:r>
      <w:r w:rsidRPr="00D75340">
        <w:rPr>
          <w:rFonts w:ascii="Times New Roman" w:eastAsiaTheme="majorEastAsia" w:hAnsi="Times New Roman"/>
          <w:sz w:val="24"/>
          <w:szCs w:val="24"/>
          <w:lang w:val="id-ID"/>
        </w:rPr>
        <w:t>menegaskan bahwa seseorang dengan keyakinan platonis akan berperan sebagai pemberi penjelasan ketika mengajar dan siswa belajar sebagai penerima pengetahuan</w:t>
      </w:r>
      <w:r w:rsidRPr="00D75340">
        <w:rPr>
          <w:rFonts w:ascii="Times New Roman" w:hAnsi="Times New Roman"/>
          <w:sz w:val="24"/>
          <w:szCs w:val="24"/>
          <w:lang w:val="id-ID"/>
        </w:rPr>
        <w:t xml:space="preserve">. Akan tetapi, terdapat kesulitan yang dialami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saat mengajarkan himpunan yaitu masih diperlukannya strategi yang lebih untuk menyampaikan materi pelajaran agar siswa dengan mudah memahami penjelasan dari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w:t>
      </w:r>
    </w:p>
    <w:p w:rsidR="00E00C37" w:rsidRPr="00D75340" w:rsidRDefault="00E00C37" w:rsidP="00E00C37">
      <w:pPr>
        <w:pStyle w:val="ListParagraph"/>
        <w:ind w:left="0" w:firstLine="540"/>
        <w:jc w:val="both"/>
        <w:rPr>
          <w:rFonts w:ascii="Times New Roman" w:hAnsi="Times New Roman"/>
          <w:sz w:val="24"/>
          <w:szCs w:val="24"/>
          <w:lang w:val="id-ID"/>
        </w:rPr>
      </w:pPr>
      <w:r w:rsidRPr="00D75340">
        <w:rPr>
          <w:rFonts w:ascii="Times New Roman" w:hAnsi="Times New Roman"/>
          <w:sz w:val="24"/>
          <w:szCs w:val="24"/>
          <w:lang w:val="id-ID"/>
        </w:rPr>
        <w:t xml:space="preserve">Pada komponen pengetahuan terhadap siswa, </w:t>
      </w:r>
      <w:r w:rsidRPr="00D75340">
        <w:rPr>
          <w:rFonts w:ascii="Times New Roman" w:eastAsiaTheme="majorEastAsia" w:hAnsi="Times New Roman"/>
          <w:sz w:val="24"/>
          <w:szCs w:val="24"/>
          <w:lang w:val="id-ID"/>
        </w:rPr>
        <w:t xml:space="preserve">berdasarkan hasil observasi dan wawancara diperoleh bahwa calon guru berkeyakinan platonis </w:t>
      </w:r>
      <w:r w:rsidRPr="00D75340">
        <w:rPr>
          <w:rFonts w:ascii="Times New Roman" w:hAnsi="Times New Roman"/>
          <w:sz w:val="24"/>
          <w:szCs w:val="24"/>
          <w:lang w:val="id-ID"/>
        </w:rPr>
        <w:t xml:space="preserve">menemukan kesulitan siswa dan mampu memahami penyebab kesulitan itu terjadi, sehingga hasil penelitian ini didukung oleh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bahwa calon guru matematika dengan kemampuan akademik sangat baik (IPK tinggi) mampu mendiagnosis beberapa kesulitan siswa dan menunjukkan kesulitan tersebut.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menemukan kesulitan siswa melalui pertanyaan-</w:t>
      </w:r>
      <w:r w:rsidRPr="00D75340">
        <w:rPr>
          <w:rFonts w:ascii="Times New Roman" w:hAnsi="Times New Roman"/>
          <w:sz w:val="24"/>
          <w:szCs w:val="24"/>
          <w:lang w:val="id-ID"/>
        </w:rPr>
        <w:lastRenderedPageBreak/>
        <w:t xml:space="preserve">pertanyaan yang diberikan. Jika pertanyaan yang diberikan masih belum mampu dijawab oleh siswa, maka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menyimpulkan bahwa siswa masih bingung ataupun merasa sulit, begitupun jika siswa belum mau untuk maju mengerjakan latihan menandakan bahwa siswa masih merasa sulit untuk mengerjakan latihan tersebut. Dalam mengatasi kesulitan siswa tindakan yang dilakukan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yaitu memberikan contoh-contoh soal dan latihan, meminta siswa mengerjakan latihan didepan kelas serta melakukan diskusi bersama siswa untuk mengetahui letak kesalahan strategi penyelesaian dan menentukan solusi yang tepat.</w:t>
      </w:r>
    </w:p>
    <w:p w:rsidR="00E00C37" w:rsidRPr="00D75340" w:rsidRDefault="00E00C37" w:rsidP="00E00C37">
      <w:pPr>
        <w:pStyle w:val="ListParagraph"/>
        <w:spacing w:after="0"/>
        <w:ind w:left="0" w:firstLine="540"/>
        <w:jc w:val="both"/>
        <w:rPr>
          <w:rFonts w:ascii="Times New Roman" w:hAnsi="Times New Roman"/>
          <w:sz w:val="24"/>
          <w:szCs w:val="24"/>
          <w:lang w:val="id-ID"/>
        </w:rPr>
      </w:pP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juga mampu menemukan miskonsepsi dan mampu memahami penyebab miskonsepsi itu terjadi, sehingga hasil penelitian ini didukung oleh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Dassa","given":"Awi","non-dropping-particle":"","parse-names":false,"suffix":""},{"dropping-particle":"","family":"Arwadi","given":"Fajar","non-dropping-particle":"","parse-names":false,"suffix":""},{"dropping-particle":"","family":"Faradiyah","given":"Andi Rafiqa","non-dropping-particle":"","parse-names":false,"suffix":""}],"container-title":"Issues in Mathematics Education","id":"ITEM-1","issue":"2","issued":{"date-parts":[["2020"]]},"page":"208-216","title":"Deskripsi Pengetahuan Konten Pedagogi Mahasiswa Calon Guru Jurusan Matematika FMIPA UNM","type":"article-journal","volume":"4"},"uris":["http://www.mendeley.com/documents/?uuid=e47b3adf-8cee-4897-ac92-ec9fe190dcd2"]}],"mendeley":{"formattedCitation":"(Dassa et al., 2020)","manualFormatting":"Dassa et al (2020)","plainTextFormattedCitation":"(Dassa et al., 2020)","previouslyFormattedCitation":"(Dassa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Dassa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bahwa calon guru mampu memiliki kemampuan dalam menginterpretasikan alasan terjadinya miskonsepsi yang dialami oleh siswa.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menemukan miskonsepsi siswa melalui pertanyaan-pertanyaan yang diberikan dalam latihan. Jika pertanyaan yang diberikan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dijawab oleh siswa namun jawaban tersebut masih kurang tepat dengan konsep yang benar, maka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menyimpulkan bahwa siswa mengalami miskonsepsi. Dalam mengatasi miskonsepsi siswa, tindakan yang dilakukan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yaitu menjelaskan ulang materi dan melakukan diskusi bersama siswa untuk memperbaiki pemahaman siswa yang kurang tepat, sehingga hal tersebut sesuai dengan </w:t>
      </w:r>
      <w:r w:rsidRPr="00D75340">
        <w:rPr>
          <w:rFonts w:ascii="Times New Roman" w:hAnsi="Times New Roman"/>
          <w:sz w:val="24"/>
          <w:szCs w:val="24"/>
          <w:lang w:val="id-ID"/>
        </w:rPr>
        <w:fldChar w:fldCharType="begin" w:fldLock="1"/>
      </w:r>
      <w:r w:rsidR="00450DE9" w:rsidRPr="00D75340">
        <w:rPr>
          <w:rFonts w:ascii="Times New Roman" w:hAnsi="Times New Roman"/>
          <w:sz w:val="24"/>
          <w:szCs w:val="24"/>
          <w:lang w:val="id-ID"/>
        </w:rPr>
        <w:instrText>ADDIN CSL_CITATION {"citationItems":[{"id":"ITEM-1","itemData":{"DOI":"10.1063/1.4995141","ISBN":"9780735415485","ISSN":"15517616","abstract":"This article showed a consistency and inconsistency beliefs towards prospective mathematics teachers, teaching, learning and problem solving. Data were collected on 183 prospective teachers of mathematics shows that belief in mathematics, teaching, learning and problem solving categorized as an instrumentalist, or platonist, or constructivist. It was found that 0.546% prospective teachers consistently have instrumentalist beliefs; 80.328% had a platonist beliefs; 0.546% had constructivist beliefs, and the rest is inconsistent to each category of beliefs. This study suggests that lecturer should train the prospective teacher through a series of scientific learning activities that have constructivist beliefs.","author":[{"dropping-particle":"","family":"Muhtarom","given":"","non-dropping-particle":"","parse-names":false,"suffix":""},{"dropping-particle":"","family":"Juniati","given":"Dwi","non-dropping-particle":"","parse-names":false,"suffix":""},{"dropping-particle":"","family":"Siswono","given":"Tatag Y.E.","non-dropping-particle":"","parse-names":false,"suffix":""}],"container-title":"AIP Conference Proceedings","id":"ITEM-1","issue":"August","issued":{"date-parts":[["2017"]]},"page":"1-6","title":"Consistency and Inconsistency of Prospective Teachers' Beliefs in Mathematics, Teaching, Learning and Problem Solving","type":"article-journal","volume":"1868"},"uris":["http://www.mendeley.com/documents/?uuid=5e387004-adb0-4de4-8be1-87e40ff0a96f"]}],"mendeley":{"formattedCitation":"(Muhtarom et al., 2017)","manualFormatting":"Muhtarom et al (2017)","plainTextFormattedCitation":"(Muhtarom et al., 2017)","previouslyFormattedCitation":"(Muhtarom et al., 2017)"},"properties":{"noteIndex":0},"schema":"https://github.com/citation-style-language/schema/raw/master/csl-citation.json"}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(2017)</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menegaskan bahwa dalam pandangan platonis belajar matematika merupakan aktivitas yang didasarkan pada kegiatan membangun pemahaman, dan kegiatan mengkaji kembali pembelajaran.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{"citationItems":[{"id":"ITEM-1","itemData":{"DOI":"10.1088/1742-6596/1317/1/012127","author":[{"dropping-particle":"","family":"Siswono","given":"T Y E","non-dropping-particle":"","parse-names":false,"suffix":""},{"dropping-particle":"","family":"Kohar","given":"A W","non-dropping-particle":"","parse-names":false,"suffix":""},{"dropping-particle":"","family":"Hartono","given":"S","non-dropping-particle":"","parse-names":false,"suffix":""},{"dropping-particle":"","family":"Indahwati","given":"T","non-dropping-particle":"","parse-names":false,"suffix":""},{"dropping-particle":"","family":"Irvan","given":"M","non-dropping-particle":"","parse-names":false,"suffix":""}],"container-title":"Journal of Physics: Conference Series PAPER","id":"ITEM-1","issued":{"date-parts":[["2019"]]},"page":"0-9","title":"Beliefs , knowledge , teaching practice : three factors affecting the quality of teacher ’ s mathematical problem-solving Beliefs , knowledge , teaching practice : three factors affecting the quality of teacher ' s mathematical problem-solving","type":"article-journal","volume":"1-9"},"uris":["http://www.mendeley.com/documents/?uuid=4ffa2b6d-d291-434b-be1a-191ffe9117d5"]}],"mendeley":{"formattedCitation":"(T Y E Siswono et al., 2019)","manualFormatting":"Siswono et al (2019)","plainTextFormattedCitation":"(T Y E Siswono et al., 2019)","previouslyFormattedCitation":"(T Y E Siswono et al., 2019)"},"properties":{"noteIndex":0},"schema":"https://github.com/citation-style-language/schema/raw/master/csl-citation.json"}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Siswono et al (2019)</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juga menegaskan bahwa seseorang platonis akan memandang pembelajaran matematika sebagai kegiatan memahami dan mengadopsi sebuah pengetahuan yang sudah ada.</w:t>
      </w:r>
    </w:p>
    <w:p w:rsidR="00E00C37" w:rsidRPr="00D75340" w:rsidRDefault="00E00C37" w:rsidP="00E00C37">
      <w:pPr>
        <w:pStyle w:val="Heading3"/>
        <w:numPr>
          <w:ilvl w:val="0"/>
          <w:numId w:val="1"/>
        </w:numPr>
        <w:spacing w:before="120" w:after="0"/>
        <w:ind w:left="360"/>
        <w:jc w:val="both"/>
        <w:rPr>
          <w:rFonts w:ascii="Times New Roman" w:hAnsi="Times New Roman" w:cs="Times New Roman"/>
          <w:i/>
          <w:sz w:val="24"/>
          <w:szCs w:val="24"/>
          <w:lang w:val="id-ID"/>
        </w:rPr>
      </w:pPr>
      <w:bookmarkStart w:id="4" w:name="_Toc96237827"/>
      <w:bookmarkStart w:id="5" w:name="_Toc96238723"/>
      <w:bookmarkStart w:id="6" w:name="_Toc100015022"/>
      <w:r w:rsidRPr="00D75340">
        <w:rPr>
          <w:rFonts w:ascii="Times New Roman" w:hAnsi="Times New Roman" w:cs="Times New Roman"/>
          <w:i/>
          <w:sz w:val="24"/>
          <w:szCs w:val="24"/>
          <w:lang w:val="id-ID"/>
        </w:rPr>
        <w:t xml:space="preserve">Pedagogical Content Knowledge </w:t>
      </w:r>
      <w:r w:rsidRPr="00D75340">
        <w:rPr>
          <w:rFonts w:ascii="Times New Roman" w:hAnsi="Times New Roman" w:cs="Times New Roman"/>
          <w:sz w:val="24"/>
          <w:szCs w:val="24"/>
          <w:lang w:val="id-ID"/>
        </w:rPr>
        <w:t>Mahasiswa Calon Guru Matematika yang Berkeyakinan Platonis dan Memiliki IPK Sedang</w:t>
      </w:r>
      <w:bookmarkEnd w:id="4"/>
      <w:bookmarkEnd w:id="5"/>
      <w:bookmarkEnd w:id="6"/>
    </w:p>
    <w:p w:rsidR="00E00C37" w:rsidRPr="00D75340" w:rsidRDefault="00E00C37" w:rsidP="00E00C37">
      <w:pPr>
        <w:spacing w:after="0"/>
        <w:ind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Pada komponen pengetahuan materi matematika, berdasarkan hasil observasi, soal tes, dan wawancara diperoleh data bahwa calon guru berkeyakinan platonis mengajar materi himpunan sesuai dengan prosedur. Akan tetapi, calon guru kurang lancar dalam menjelaskan materi himpunan yang sedang diajarkan, lebih sering melihat buku, dan masih terjadi kesalahan dalam penjelasannya. Calon guru mampu mengaplikasikan suatu konsep himpunan menggunakan objek nyata dan masalah kontekstual. Namun, calon guru</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 xml:space="preserve">belum mampu </w:t>
      </w:r>
      <w:r w:rsidRPr="00D75340">
        <w:rPr>
          <w:rFonts w:ascii="Times New Roman" w:hAnsi="Times New Roman"/>
          <w:bCs/>
          <w:sz w:val="24"/>
          <w:szCs w:val="24"/>
          <w:lang w:val="id-ID"/>
        </w:rPr>
        <w:t>menyatakan ulang suatu konsep materi himpunan dengan menggunakan kalimat sendiri.</w:t>
      </w:r>
      <w:r w:rsidRPr="00D75340">
        <w:rPr>
          <w:rFonts w:ascii="Times New Roman" w:eastAsiaTheme="majorEastAsia" w:hAnsi="Times New Roman"/>
          <w:sz w:val="24"/>
          <w:szCs w:val="24"/>
          <w:lang w:val="id-ID"/>
        </w:rPr>
        <w:t xml:space="preserve"> Calon guru memberikan pemahaman pada siswa hanya dengan membacakan ulang definisi suatu konsep himpunan sesuai yang tertera dalam buku dan mengaplikasikan suatu konsep himpunan menggunakan objek nyata dan masalah kontekstual, maka hal tersebut menggambarkan calon guru yang berkeyakinan platonis memandang materi matematika sebagai konsep yang sebelumnya telah ditemukan sehingga semua itu penting untuk ditekankan dalam pemahaman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{"citationItems":[{"id":"ITEM-1","itemData":{"DOI":"10.1088/1742-6596/1317/1/012127","author":[{"dropping-particle":"","family":"Siswono","given":"T Y E","non-dropping-particle":"","parse-names":false,"suffix":""},{"dropping-particle":"","family":"Kohar","given":"A W","non-dropping-particle":"","parse-names":false,"suffix":""},{"dropping-particle":"","family":"Hartono","given":"S","non-dropping-particle":"","parse-names":false,"suffix":""},{"dropping-particle":"","family":"Indahwati","given":"T","non-dropping-particle":"","parse-names":false,"suffix":""},{"dropping-particle":"","family":"Irvan","given":"M","non-dropping-particle":"","parse-names":false,"suffix":""}],"container-title":"Journal of Physics: Conference Series PAPER","id":"ITEM-1","issued":{"date-parts":[["2019"]]},"page":"0-9","title":"Beliefs , knowledge , teaching practice : three factors affecting the quality of teacher ’ s mathematical problem-solving Beliefs , knowledge , teaching practice : three factors affecting the quality of teacher ' s mathematical problem-solving","type":"article-journal","volume":"1-9"},"uris":["http://www.mendeley.com/documents/?uuid=4ffa2b6d-d291-434b-be1a-191ffe9117d5"]}],"mendeley":{"formattedCitation":"(T Y E Siswono et al., 2019)","manualFormatting":"(Siswono et al., 2019)","plainTextFormattedCitation":"(T Y E Siswono et al., 2019)","previouslyFormattedCitation":"(T Y E Siswono et al., 2019)"},"properties":{"noteIndex":0},"schema":"https://github.com/citation-style-language/schema/raw/master/csl-citation.json"}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(Siswono et al., 2019)</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Calon guru juga belum mampu mengaitkan materi himpunan dengan materi lain. Calon guru hanya menggunakan contoh-contoh dan latihan soal himpunan yang menerapkan kehidupan sehari-hari, sehingga penelitian ini didukung oleh penelitian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{"citationItems":[{"id":"ITEM-1","itemData":{"DOI":"10.25217/numerical.v3i2.616","ISSN":"2580-3573","abstract":"Pedagogical Content Knowledge (PCK) is one of the basic knowledge that pre -services teachers must-have. PCK explained how the teacher linked material knowledge with knowledge about teaching. By mastering PCK pre-services teachers are expected to carry out effective learning. The purpose of this study is to describe the ability of pre-service mathematics teacher PCK. This type of research is descriptive qualitative. The subjects of this study were two pre-service teachers for the Mathematics Education Department at the Universitas Sarjanawiyata Tamansiswa. The instruments used were observation sheets, questionnaire sheets, linear program test questions, and interview guidelines. The data analysis technique of this study used descriptive qualitative analysis techniques. The results showed that based on indicators of PCK ability, pre-service teachers already knew and understood core competencies, basic competencies, and learning indicators and could make learning objectives, learning materials, reference sources, approaches, strategies, methods, and mathematical learning models. In addition, pre-service teachers can also make assessment plans, both the affective, cognitive, and psychomotor domains as well as the remedial and enrichment programs. Pre-service teachers are quite flexible and confident in teaching even though there are pre-service teachers who speak in small voices and the intonation has not varied. When viewed from the material side, the material provided by pre-service teachers to students is good even though there are still a few shortcomings. In general, pre-service teachers have a good understanding of content and pedagogical knowledge in theory, but implementation in planning and learning in class is still lacking","author":[{"dropping-particle":"","family":"Ayuningtyas","given":"Annis Deshinta","non-dropping-particle":"","parse-names":false,"suffix":""},{"dropping-particle":"","family":"Apriandi","given":"Davi","non-dropping-particle":"","parse-names":false,"suffix":""}],"container-title":"NUMERICAL: Jurnal Matematika dan Pendidikan Matematika","id":"ITEM-1","issued":{"date-parts":[["2020"]]},"page":"119-130","title":"Pedagogical Content Knowledge (PCK) pada Mahasiswa Calon Guru Matematika","type":"article-journal","volume":"3"},"uris":["http://www.mendeley.com/documents/?uuid=4f38a706-20cf-4219-8475-336139efb7fb"]}],"mendeley":{"formattedCitation":"(Ayuningtyas &amp; Apriandi, 2020)","manualFormatting":"Ayuningtyas &amp; Apriandi (2020)","plainTextFormattedCitation":"(Ayuningtyas &amp; Apriandi, 2020)","previouslyFormattedCitation":"(Ayuningtyas &amp; Apriandi, 2020)"},"properties":{"noteIndex":0},"schema":"https://github.com/citation-style-language/schema/raw/master/csl-citation.json"}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Ayuningtyas &amp; Apriandi (2020)</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latihan soal yang diberikan calon guru matematika masih kurang bervariasi. </w:t>
      </w:r>
    </w:p>
    <w:p w:rsidR="00E00C37" w:rsidRPr="00D75340" w:rsidRDefault="00E00C37" w:rsidP="00E00C37">
      <w:pPr>
        <w:spacing w:after="0"/>
        <w:ind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lastRenderedPageBreak/>
        <w:t xml:space="preserve">Pemahaman calon guru mengenai konsep himpunan yaitu menjelaskan definisi himpunan secara umum dan sekaligus memberikan contohnya secara konkret. Sedangkan konsep himpunan yang telah diajarkan calon guru tidak sekadar mengenai definisi himpunan, tetapi anggota himpunan dan kardinalitas himpunan juga termasuk konsep himpunan. Pemahaman calon guru mengenai macam-macam himpunan hanya sekadar menjelaskan definisi secara umum tanpa memberikan contoh serta kurang memahami simbol. Calon guru menjelaskan dengan tepat macam-macam himpunan hanya himpunan semesta, himpunan bagian, dan himpunan kosong. Calon guru hanya mampu menyebutkan dan menjelaskan macam-macam himpunan yang sering didengar, sedangkan macam-macam himpunan lainnya seperti himpunan berhingga, himpunan tak berhingga, himpunan sama, dan himpunan ekuivalen tidak disebutkan. Selain itu, pemahaman calon guru mengenai jenis operasi pada himpunan yaitu belum memahami definisi serta arti dari simbol operasi himpunan seperti gabungan, irisan, selisih himpunan, dan komplemen himpunan. Calon guru hanya dapat menyebutkan simbol dari komplemen himpunan. Penjelasan tersebut sesuai dengan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{"citationItems":[{"id":"ITEM-1","itemData":{"author":[{"dropping-particle":"","family":"Siswono","given":"Tatag Yuli Eko","non-dropping-particle":"","parse-names":false,"suffix":""},{"dropping-particle":"","family":"Kohar","given":"Ahmad Wachidul","non-dropping-particle":"","parse-names":false,"suffix":""},{"dropping-particle":"","family":"Hartono","given":"Sugi","non-dropping-particle":"","parse-names":false,"suffix":""}],"editor":[{"dropping-particle":"","family":"Siswono","given":"Tatag Yuli Eko","non-dropping-particle":"","parse-names":false,"suffix":""}],"id":"ITEM-1","issued":{"date-parts":[["2016"]]},"page":"453-470","publisher":"Unesa Unversity Press","title":"KEYAKINAN, PENGETAHUAN, DAN PRAKTIK GURU DALAM PEMECAHAN MASALAH MATEMATIKA","type":"paper-conference"},"uris":["http://www.mendeley.com/documents/?uuid=3278af5d-fa06-484b-bafd-7ea9172fdd65"]}],"mendeley":{"formattedCitation":"(Tatag Yuli Eko Siswono, Kohar, &amp; Hartono, 2016)","manualFormatting":"Siswono et al (2016)","plainTextFormattedCitation":"(Tatag Yuli Eko Siswono, Kohar, &amp; Hartono, 2016)","previouslyFormattedCitation":"(Tatag Yuli Eko Siswono, Kohar, &amp; Hartono, 2016)"},"properties":{"noteIndex":0},"schema":"https://github.com/citation-style-language/schema/raw/master/csl-citation.json"}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Siswono et al (2016)</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menegaskan jika calon guru yang berkeyakinan platonis memandang matematika sebagai pengetahuan yang tetap dan jelas. Hal tersebut menunjukkan bahwa pemahaman calon guru mengenai konsep himpunan dan macam-macam himpunan yaitu memahami definisi secara umum sebagai pengetahuan yang tetap, tetapi belum memahami simbolnya. Sedangkan pemahaman calon guru mengenai operasi pada himpunan hanya sekadar memahami simbol dari komplem himpunan.</w:t>
      </w:r>
    </w:p>
    <w:p w:rsidR="00E00C37" w:rsidRPr="00D75340" w:rsidRDefault="00E00C37" w:rsidP="00E00C37">
      <w:pPr>
        <w:spacing w:after="0"/>
        <w:ind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Dari penjelasan mengenai pengetahuan terhadap</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materi matematika yang dimiliki calon guru</w:t>
      </w:r>
      <w:r w:rsidRPr="00D75340">
        <w:rPr>
          <w:rFonts w:ascii="Times New Roman" w:hAnsi="Times New Roman"/>
          <w:sz w:val="24"/>
          <w:szCs w:val="24"/>
          <w:lang w:val="id-ID"/>
        </w:rPr>
        <w:t xml:space="preserve">, hasil penelitian ini didukung oleh hasil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author":[{"dropping-particle":"","family":"Dassa","given":"Awi","non-dropping-particle":"","parse-names":false,"suffix":""},{"dropping-particle":"","family":"Arwadi","given":"Fajar","non-dropping-particle":"","parse-names":false,"suffix":""},{"dropping-particle":"","family":"Faradiyah","given":"Andi Rafiqa","non-dropping-particle":"","parse-names":false,"suffix":""}],"container-title":"Issues in Mathematics Education","id":"ITEM-1","issue":"2","issued":{"date-parts":[["2020"]]},"page":"208-216","title":"Deskripsi Pengetahuan Konten Pedagogi Mahasiswa Calon Guru Jurusan Matematika FMIPA UNM","type":"article-journal","volume":"4"},"uris":["http://www.mendeley.com/documents/?uuid=e47b3adf-8cee-4897-ac92-ec9fe190dcd2"]}],"mendeley":{"formattedCitation":"(Dassa et al., 2020)","manualFormatting":"Dassa et al (2020)","plainTextFormattedCitation":"(Dassa et al., 2020)","previouslyFormattedCitation":"(Dassa et al., 2020)"},"properties":{"noteIndex":0},"schema":"https://github.com/citation-style-language/schema/raw/master/csl-citation.json"}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Dassa et al (2020)</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jika pengetahuan calon guru terkait materi matematika belum merata. Hal tersebut dikarenakan pada penelitian ini secara keseluruhan yang ditanyakan mengenai himpunan belum dapat dipahami dengan tepat oleh calon guru. Namun, </w:t>
      </w:r>
      <w:r w:rsidRPr="00D75340">
        <w:rPr>
          <w:rFonts w:ascii="Times New Roman" w:eastAsiaTheme="majorEastAsia" w:hAnsi="Times New Roman"/>
          <w:sz w:val="24"/>
          <w:szCs w:val="24"/>
          <w:lang w:val="id-ID"/>
        </w:rPr>
        <w:t xml:space="preserve">hasil penelitian ini tidak bersesuain dengan hasil penelitian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Maryono  (2016)</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pengetahuan konten calon guru matematika yang memiliki kemampuan akademik baik (IPK sedang) mampu menyatakan semua definisi dan menggunakan notasi dengan tepat. Hal tersebut dikarenakan pada penelitian ini calon guru dengan IPK sedang belum mampu menyatakan semua definisi dan menggunakan notasi mengenai materi himpunan dengan tepat. </w:t>
      </w:r>
    </w:p>
    <w:p w:rsidR="00E00C37" w:rsidRPr="00D75340" w:rsidRDefault="00E00C37" w:rsidP="00E00C37">
      <w:pPr>
        <w:spacing w:after="0"/>
        <w:ind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Pada komponen pengetahuan mengajar, berdasarkan hasil observasi dan wawancara diperoleh data bahwa calon guru berkeyakinan platonis tidak menyampaikan tujuan pembelajaran himpunan yang akan dipelajari pada pertemuan tersebut kepada siswa, sehingga calon guru kurang mampu dalam mengatur waktu dan materi yang disampaikan. Calon guru mengajar hanya mengikuti waktu pelajaran tanpa menargetkan materi yang harus selesai dibahas pada pertemuan tersebut. Namun, calon guru mampu menginformasikan bahwa strategi pembelajaran yang digunakan adalah strategi ekspositori, sehingga hal t</w:t>
      </w:r>
      <w:r w:rsidRPr="00D75340">
        <w:rPr>
          <w:rFonts w:ascii="Times New Roman" w:hAnsi="Times New Roman"/>
          <w:sz w:val="24"/>
          <w:szCs w:val="24"/>
          <w:lang w:val="id-ID"/>
        </w:rPr>
        <w:t xml:space="preserve">ersebut sesuai dengan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{"citationItems":[{"id":"ITEM-1","itemData":{"DOI":"10.29333/ejmste/93179","ISSN":"13058223","abstract":"The purpose of this paper is to examine the relationships between preservice secondary mathematics teachers’ beliefs and knowledge regarding teaching mathematics with technology. By conducting three semi-structured interviews, I investigated four preservice secondary mathematics teachers’ technological, pedagogical, and content knowledge (TPACK) and their beliefs about the nature of mathematics, learning and teaching mathematics, and technology use in the mathematics classroom. The findings of this study suggest that preservice teachers with constructivist-oriented or student centered beliefs about the nature of mathematics, learning mathematics, and technology use displayed higher levels of mathematical knowledge, pedagogical content knowledge, and technological content knowledge, respectively, than preservice teachers with traditional or teacher-centered beliefs about mathematics, learning, and technology use","author":[{"dropping-particle":"","family":"Kim","given":"Somin","non-dropping-particle":"","parse-names":false,"suffix":""}],"container-title":"Eurasia Journal of Mathematics, Science and Technology Education","id":"ITEM-1","issue":"10","issued":{"date-parts":[["2018"]]},"page":"1-24","title":"Technological, Pedagogical, and Content Knowledge (TPACK) and Beliefs of Preservice Secondary Mathematics Teachers: Examining the Relationships","type":"article-journal","volume":"14"},"uris":["http://www.mendeley.com/documents/?uuid=24fc9090-c1a5-4fc5-a3fd-0384472cb570"]}],"mendeley":{"formattedCitation":"(Kim, 2018)","manualFormatting":"Kim (2018)","plainTextFormattedCitation":"(Kim, 2018)","previouslyFormattedCitation":"(Kim, 2018)"},"properties":{"noteIndex":0},"schema":"https://github.com/citation-style-language/schema/raw/master/csl-citation.json"}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Kim (2018)</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calon guru dengan pandangan platonis akan melakukan pembelajaran menggunakan pendekatan yang berpusat pada guru. Calon guru menggunakan strategi ekspositori karena ketika mengajar sudah terbiasa menggunakan strategi tersebut. Selain itu, calon guru mengatakan strategi ekspositori menggunakan metode ceramah dan tanya jawab, sehingga dapat membantu calon guru untuk mengetahui kesulitan yang dialami siswa. </w:t>
      </w:r>
      <w:r w:rsidRPr="00D75340">
        <w:rPr>
          <w:rFonts w:ascii="Times New Roman" w:eastAsiaTheme="majorEastAsia" w:hAnsi="Times New Roman"/>
          <w:sz w:val="24"/>
          <w:szCs w:val="24"/>
          <w:lang w:val="id-ID"/>
        </w:rPr>
        <w:lastRenderedPageBreak/>
        <w:t xml:space="preserve">Ketika mengajar calon guru menggunakan representasi berupa simbol-simbol dan notasi untuk membantu siswa dalam memahami himpunan. </w:t>
      </w:r>
    </w:p>
    <w:p w:rsidR="00E00C37" w:rsidRPr="00D75340" w:rsidRDefault="00E00C37" w:rsidP="00E00C37">
      <w:pPr>
        <w:spacing w:after="0"/>
        <w:ind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 xml:space="preserve">Cara calon guru mengajarkan konsep himpunan yaitu diawali dengan mendikte definisi dari konsep himpunan dan dicatat oleh siswa. Calon guru mengatakan dengan mencatat maka siswa akan membaca, sehingga dapat membuka pemikiran siswa. Kemudian, calon guru akan memberikan contoh-contoh yang menerapkan konsep himpunan menggunakan objek nyata dan masalah kontekstual agar dapat membantu siswa dalam membangun pemahamannya. Setelah itu, calon guru akan memberikan contoh soal dan latihan yang sesuai dengan konsep himpunan agar siswa lebih memahami materi yang sedang dipelajari. </w:t>
      </w:r>
      <w:r w:rsidRPr="00D75340">
        <w:rPr>
          <w:rFonts w:ascii="Times New Roman" w:hAnsi="Times New Roman"/>
          <w:sz w:val="24"/>
          <w:szCs w:val="24"/>
          <w:lang w:val="id-ID"/>
        </w:rPr>
        <w:t xml:space="preserve">Dengan demikian,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mengutamakan pemahaman yang siswa bangun terhadap konsep himpunan dengan bantuan dari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Hal tersebut sesuai dengan keyakinan platonis terhadap pengajaran matematika yang menyatakan bahwa mengajar matematika akan fokus pada materi untuk menekankan pada pemahaman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{"citationItems":[{"id":"ITEM-1","itemData":{"ISBN":"9786027340312","abstract":"Keyakinan merupakan bagian dari domain afektif selain perasaan dan suasana hati. Banyak penelitian telah dilakukan yang menunjukkan bahwa keyakinan matematika guru berpengaruh ketika mereka mengajar dan pendidikan guru berpengaruh dalam pembentukan keyakinan matematika calon guru. Kajian literatur ini dilakukan dengan mensintesis pandangan ahli tentang tiga tipe keyakinan matematika guru, yaitu keyakinan konstruktivis atau pemecahan masalah, platonis, dan instrumentalis. Keyakinan matematika konstruktivis menunjukkan tipe keyakinan ideal dibandingkan dua tipe keyakinan yang lain. Untuk mencapai keyakinan ideal tersebut, guru perlu mengembangkan pengetahuan dan pengalaman mengenai hakikat matematika, belajar matematika, dan mengajar matematika yang mampu meningkatkan cara berpikir dan daya eksplorasi matematika","author":[{"dropping-particle":"","family":"Novikasari","given":"Ifada","non-dropping-particle":"","parse-names":false,"suffix":""}],"container-title":"Seminar Nasional Matematikan dan Pendidikan Matematika UNY","id":"ITEM-1","issued":{"date-parts":[["2016"]]},"page":"377-380","title":"Tiga Tipe Keyakinan Matematika Guru","type":"article-journal"},"uris":["http://www.mendeley.com/documents/?uuid=0345a514-0ed3-47fd-a976-5c969af8f2e9"]}],"mendeley":{"formattedCitation":"(Novikasari, 2016)","plainTextFormattedCitation":"(Novikasari, 2016)","previouslyFormattedCitation":"(Novikasari,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(Novikasari,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karena calon guru melakukan pengajaran yang menekankan pada proses penyampaian materi secara verbal dengan tujuan agar siswa dapat menguasai materi pelajaran secara optimal</w:t>
      </w:r>
      <w:r w:rsidRPr="00D75340">
        <w:rPr>
          <w:rFonts w:ascii="Times New Roman" w:eastAsiaTheme="majorEastAsia" w:hAnsi="Times New Roman"/>
          <w:sz w:val="24"/>
          <w:szCs w:val="24"/>
          <w:lang w:val="id-ID"/>
        </w:rPr>
        <w:t>.</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{"citationItems":[{"id":"ITEM-1","itemData":{"DOI":"10.20414/betajtm.v14i1.439","ISSN":"2085-5893","abstract":"[English]: This quantitative study with n = 206 participants (mathematics pre-service teachers from Indonesia) investigates the effect of two factors on pre-service teachers’ beliefs: (1) contexts related to students’ achievement as well as (2) the differences between school mathematics and university mathematics. The results of this quantitative study show that the participants (1) have different beliefs about teaching and learning of mathematics in different contexts of students’ achievement (a class dominated by high-achieving students vs. a class dominated by low-achieving students) and (2) have different beliefs about school mathematics and university mathematics. Interestingly, compared to their beliefs about school mathematics, the pre-service teachers’ beliefs about university mathematics correlate better with their beliefs about teaching and learning in different contexts of students’ achievement. The implication of the better correlations for the pre-service teacher education are further discussed. [Bahasa]: Penelitian kuantitatif dengan 206 calon guru matematika ini bertujuan untuk menginvestigasi efek dari dua faktor yang mempengaruhi keyakinan para calon guru: (1) konteks yang berhubungan dengan capaian siswa dan (2) perbedaan karakteristik antara matematika sekolah dan matematika universitas. Hasil penelitian menunjukkan bahwa para calon guru tersebut (1) memiliki keyakinan yang berbeda tentang bagaimana mengajar dan belajar matematika di dalam konteks yang berbeda, yaitu antara kelas yang didominasi oleh siswa-siswa capaian tinggi dan kelas yang didominasi oleh siswa-siswa capaian rendah, dan (2) memiliki keyakinan yang berbeda antara matematika sekolah dan matematika universitas. Menariknya, jika dibandingkan dengan keyakinan tentang matematika sekolah, keyakinan para calon guru tentang matematika universitas ternyata lebih baik korelasinya terhadap keyakinan mereka tentang bagaimana mengajar dan belajar di dua konteks kelas tersebut. Selanjutnya, artikel ini akan mendiskusikan implikasi dari korelasi yang lebih baik tersebut terhadap pendidikan para calon guru matematika.","author":[{"dropping-particle":"","family":"Safrudiannur","given":"Safrudiannur","non-dropping-particle":"","parse-names":false,"suffix":""},{"dropping-particle":"","family":"Labulan","given":"P.M.","non-dropping-particle":"","parse-names":false,"suffix":""},{"dropping-particle":"","family":"Suriaty","given":"Suriaty","non-dropping-particle":"","parse-names":false,"suffix":""},{"dropping-particle":"","family":"Rott","given":"Benjamin","non-dropping-particle":"","parse-names":false,"suffix":""}],"container-title":"Beta: Jurnal Tadris Matematika","id":"ITEM-1","issue":"1","issued":{"date-parts":[["2021"]]},"page":"1-14","title":"Beliefs about school mathematics vs. university mathematics and beliefs about teaching and learning in different contexts of students’ achievement","type":"article-journal","volume":"14"},"uris":["http://www.mendeley.com/documents/?uuid=ef6290d2-0039-48f1-a070-7a009127bdff"]}],"mendeley":{"formattedCitation":"(Safrudiannur et al., 2021)","manualFormatting":"Safrudiannur et al (2021)","plainTextFormattedCitation":"(Safrudiannur et al., 2021)","previouslyFormattedCitation":"(Safrudiannur et al., 2021)"},"properties":{"noteIndex":0},"schema":"https://github.com/citation-style-language/schema/raw/master/csl-citation.json"}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Safrudiannur et al (2021)</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juga menyatakan bahwa seorang pendidik dengan pandangan platonis akan bertindak sebagai penjelas yang menjelaskan konsep dan siswa diharapkan memahami konsep dari penjelasan tersebut</w:t>
      </w:r>
      <w:r w:rsidRPr="00D75340">
        <w:rPr>
          <w:rFonts w:ascii="Times New Roman" w:hAnsi="Times New Roman"/>
          <w:sz w:val="24"/>
          <w:szCs w:val="24"/>
          <w:lang w:val="id-ID"/>
        </w:rPr>
        <w:t xml:space="preserve">.  Akan tetapi, terdapat kesulitan yang dialami calon guru saat mengajarkan himpunan yaitu kurang mempersiapkan diri dan mempelajari materi yang akan diajarkan dengan baik, sehingga masih terjadi kesalahan saat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menjelaskan materi serta akan merasa bingung jika menjelaskan tanpa melihat buku. Selain itu,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juga masih bingung dengan cara mengajar yang mudah untuk dipahami oleh siswa secara merata dalam kelas tersebut.</w:t>
      </w:r>
    </w:p>
    <w:p w:rsidR="00E00C37" w:rsidRPr="00D75340" w:rsidRDefault="00E00C37" w:rsidP="00E00C37">
      <w:pPr>
        <w:pStyle w:val="ListParagraph"/>
        <w:ind w:left="0" w:firstLine="540"/>
        <w:jc w:val="both"/>
        <w:rPr>
          <w:rFonts w:ascii="Times New Roman" w:eastAsiaTheme="majorEastAsia" w:hAnsi="Times New Roman"/>
          <w:sz w:val="24"/>
          <w:szCs w:val="24"/>
          <w:lang w:val="id-ID"/>
        </w:rPr>
      </w:pPr>
      <w:r w:rsidRPr="00D75340">
        <w:rPr>
          <w:rFonts w:ascii="Times New Roman" w:hAnsi="Times New Roman"/>
          <w:sz w:val="24"/>
          <w:szCs w:val="24"/>
          <w:lang w:val="id-ID"/>
        </w:rPr>
        <w:t>Pada komponen pengetahuan terhadap siswa, b</w:t>
      </w:r>
      <w:r w:rsidRPr="00D75340">
        <w:rPr>
          <w:rFonts w:ascii="Times New Roman" w:eastAsiaTheme="majorEastAsia" w:hAnsi="Times New Roman"/>
          <w:sz w:val="24"/>
          <w:szCs w:val="24"/>
          <w:lang w:val="id-ID"/>
        </w:rPr>
        <w:t>erdasarkan hasil observasi dan wawancara diperoleh data bahwa calon guru berkeyakinan platonis</w:t>
      </w:r>
      <w:r w:rsidRPr="00D75340">
        <w:rPr>
          <w:rFonts w:ascii="Times New Roman" w:hAnsi="Times New Roman"/>
          <w:sz w:val="24"/>
          <w:szCs w:val="24"/>
          <w:lang w:val="id-ID"/>
        </w:rPr>
        <w:t xml:space="preserve"> menemukan kesulitan siswa dan mampu memahami kesulitan itu terjadi, sehingga hasil penelitian ini didukung oleh penelitian </w:t>
      </w:r>
      <w:r w:rsidRPr="00D75340">
        <w:rPr>
          <w:rFonts w:ascii="Times New Roman" w:hAnsi="Times New Roman"/>
          <w:sz w:val="24"/>
          <w:szCs w:val="24"/>
          <w:lang w:val="id-ID"/>
        </w:rPr>
        <w:fldChar w:fldCharType="begin" w:fldLock="1"/>
      </w:r>
      <w:r w:rsidRPr="00D75340">
        <w:rPr>
          <w:rFonts w:ascii="Times New Roman" w:hAnsi="Times New Roman"/>
          <w:sz w:val="24"/>
          <w:szCs w:val="24"/>
          <w:lang w:val="id-ID"/>
        </w:rPr>
        <w:instrText>ADDIN CSL_CITATION {"citationItems":[{"id":"ITEM-1","itemData":{"DOI":"10.15642/jrpm.2016.1.1.1-16","abstract":"The research of Pedagogical Content Knowledge (PCK) uses a qualitative approach with case studies. The purpose of this research is to obtain the Pedagogical Content Knowledge (PCK) of prospective teachers of mathematics in terms of academic ability. Data were analyzed in the form of documents and interview with the subjects were prospective teachers of mathematics in IAIN Tulungagung and STKIP PGRI Tulungagung. The results showed that a group of students with excellent academic ability and a group of students with good academic ability, content knowledge, knowledge of teaching, and knowledge of students are relatively same. Most of the content knowledge at level 1, knowledge of teaching at level 2, and knowledge of students at level 1. While the group of students with academic ability can reasonably be concluded that content knowledge at level 0, knowledge of teaching at level 1, and knowledge of students at level 1.","author":[{"dropping-particle":"","family":"Maryono","given":"","non-dropping-particle":"","parse-names":false,"suffix":""}],"container-title":"Jurnal Review Pembelajaran Matematika","id":"ITEM-1","issue":"1","issued":{"date-parts":[["2016"]]},"page":"1-16","title":"Profil Pedagogical Content Knowledge (PCK) Mahasiswa Calon Guru Matematika Ditinjau dari Kemampuan Akademiknya","type":"article-journal","volume":"1"},"uris":["http://www.mendeley.com/documents/?uuid=38d58d05-aac7-4344-93ab-12451c165fc6"]}],"mendeley":{"formattedCitation":"(Maryono, 2016)","manualFormatting":"Maryono (2016)","plainTextFormattedCitation":"(Maryono, 2016)","previouslyFormattedCitation":"(Maryono, 2016)"},"properties":{"noteIndex":0},"schema":"https://github.com/citation-style-language/schema/raw/master/csl-citation.json"}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Maryono (2016)</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bahwa calon guru matematika dengan kemampuan akademik baik (IPK sedang) mampu mendiagnosis beberapa kesulitan siswa dan menunjukkan kesulitan tersebut.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menemukan kesulitan siswa melalui pertanyaan-pertanyaan yang diberikan. Jika pertanyaan yang diberikan masih belum mampu dijawab oleh siswa, maka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menyimpulkan bahwa siswa masih bingung ataupun merasa sulit, begitupun jika siswa belum mau maju untuk mengerjakan latihan menandakan bahwa siswa masih merasa sulit untuk mengerjakan latihan tersebut. Dalam mengatasi kesulitan siswa, tindakan yang dilakukan </w:t>
      </w:r>
      <w:r w:rsidRPr="00D75340">
        <w:rPr>
          <w:rFonts w:ascii="Times New Roman" w:eastAsiaTheme="majorEastAsia" w:hAnsi="Times New Roman"/>
          <w:sz w:val="24"/>
          <w:szCs w:val="24"/>
          <w:lang w:val="id-ID"/>
        </w:rPr>
        <w:t>calon guru</w:t>
      </w:r>
      <w:r w:rsidRPr="00D75340">
        <w:rPr>
          <w:rFonts w:ascii="Times New Roman" w:hAnsi="Times New Roman"/>
          <w:sz w:val="24"/>
          <w:szCs w:val="24"/>
          <w:lang w:val="id-ID"/>
        </w:rPr>
        <w:t xml:space="preserve"> yaitu mengulangi penjelasan dengan memberikan contoh-contoh soal dan latihan, serta meminta siswa sampai mau mengerjakan latihan didepan kelas agar bisa diketahui apakah siswa sudah paham atau terdapat kesulitan lainnya. Penjelasan tersebut sesuai dengan </w:t>
      </w:r>
      <w:r w:rsidRPr="00D75340">
        <w:rPr>
          <w:rFonts w:ascii="Times New Roman" w:hAnsi="Times New Roman"/>
          <w:sz w:val="24"/>
          <w:szCs w:val="24"/>
          <w:lang w:val="id-ID"/>
        </w:rPr>
        <w:fldChar w:fldCharType="begin" w:fldLock="1"/>
      </w:r>
      <w:r w:rsidR="00450DE9" w:rsidRPr="00D75340">
        <w:rPr>
          <w:rFonts w:ascii="Times New Roman" w:hAnsi="Times New Roman"/>
          <w:sz w:val="24"/>
          <w:szCs w:val="24"/>
          <w:lang w:val="id-ID"/>
        </w:rPr>
        <w:instrText>ADDIN CSL_CITATION {"citationItems":[{"id":"ITEM-1","itemData":{"DOI":"10.1063/1.4995141","ISBN":"9780735415485","ISSN":"15517616","abstract":"This article showed a consistency and inconsistency beliefs towards prospective mathematics teachers, teaching, learning and problem solving. Data were collected on 183 prospective teachers of mathematics shows that belief in mathematics, teaching, learning and problem solving categorized as an instrumentalist, or platonist, or constructivist. It was found that 0.546% prospective teachers consistently have instrumentalist beliefs; 80.328% had a platonist beliefs; 0.546% had constructivist beliefs, and the rest is inconsistent to each category of beliefs. This study suggests that lecturer should train the prospective teacher through a series of scientific learning activities that have constructivist beliefs.","author":[{"dropping-particle":"","family":"Muhtarom","given":"","non-dropping-particle":"","parse-names":false,"suffix":""},{"dropping-particle":"","family":"Juniati","given":"Dwi","non-dropping-particle":"","parse-names":false,"suffix":""},{"dropping-particle":"","family":"Siswono","given":"Tatag Y.E.","non-dropping-particle":"","parse-names":false,"suffix":""}],"container-title":"AIP Conference Proceedings","id":"ITEM-1","issue":"August","issued":{"date-parts":[["2017"]]},"page":"1-6","title":"Consistency and Inconsistency of Prospective Teachers' Beliefs in Mathematics, Teaching, Learning and Problem Solving","type":"article-journal","volume":"1868"},"uris":["http://www.mendeley.com/documents/?uuid=5e387004-adb0-4de4-8be1-87e40ff0a96f"]}],"mendeley":{"formattedCitation":"(Muhtarom et al., 2017)","manualFormatting":"Muhtarom et al (2017)","plainTextFormattedCitation":"(Muhtarom et al., 2017)","previouslyFormattedCitation":"(Muhtarom et al., 2017)"},"properties":{"noteIndex":0},"schema":"https://github.com/citation-style-language/schema/raw/master/csl-citation.json"}</w:instrText>
      </w:r>
      <w:r w:rsidRPr="00D75340">
        <w:rPr>
          <w:rFonts w:ascii="Times New Roman" w:hAnsi="Times New Roman"/>
          <w:sz w:val="24"/>
          <w:szCs w:val="24"/>
          <w:lang w:val="id-ID"/>
        </w:rPr>
        <w:fldChar w:fldCharType="separate"/>
      </w:r>
      <w:r w:rsidRPr="00D75340">
        <w:rPr>
          <w:rFonts w:ascii="Times New Roman" w:hAnsi="Times New Roman"/>
          <w:noProof/>
          <w:sz w:val="24"/>
          <w:szCs w:val="24"/>
          <w:lang w:val="id-ID"/>
        </w:rPr>
        <w:t>Muhtarom et al (2017)</w:t>
      </w:r>
      <w:r w:rsidRPr="00D75340">
        <w:rPr>
          <w:rFonts w:ascii="Times New Roman" w:hAnsi="Times New Roman"/>
          <w:sz w:val="24"/>
          <w:szCs w:val="24"/>
          <w:lang w:val="id-ID"/>
        </w:rPr>
        <w:fldChar w:fldCharType="end"/>
      </w:r>
      <w:r w:rsidRPr="00D75340">
        <w:rPr>
          <w:rFonts w:ascii="Times New Roman" w:hAnsi="Times New Roman"/>
          <w:sz w:val="24"/>
          <w:szCs w:val="24"/>
          <w:lang w:val="id-ID"/>
        </w:rPr>
        <w:t xml:space="preserve"> yang menyatakan bahwa dalam pandangan platonis belajar matematika merupakan aktivitas yang didasarkan pada kegiatan membangun pemahaman, dan kegiatan mengkaji kembali pembelajaran</w:t>
      </w:r>
      <w:r w:rsidRPr="00D75340">
        <w:rPr>
          <w:rFonts w:ascii="Times New Roman" w:eastAsiaTheme="majorEastAsia" w:hAnsi="Times New Roman"/>
          <w:sz w:val="24"/>
          <w:szCs w:val="24"/>
          <w:lang w:val="id-ID"/>
        </w:rPr>
        <w:t xml:space="preserve">. Hal tersebut menunjukkan jika calon guru membantu mengatasi kesulitan siswa dengan mengkaji kembali materi yang telah disampaikan melalui contoh soal dan latihan soal, serta </w:t>
      </w:r>
      <w:r w:rsidRPr="00D75340">
        <w:rPr>
          <w:rFonts w:ascii="Times New Roman" w:hAnsi="Times New Roman"/>
          <w:sz w:val="24"/>
          <w:szCs w:val="24"/>
          <w:lang w:val="id-ID"/>
        </w:rPr>
        <w:t>meminta siswa mengerjakan latihan didepan kelas</w:t>
      </w:r>
      <w:r w:rsidRPr="00D75340">
        <w:rPr>
          <w:rFonts w:ascii="Times New Roman" w:eastAsiaTheme="majorEastAsia" w:hAnsi="Times New Roman"/>
          <w:sz w:val="24"/>
          <w:szCs w:val="24"/>
          <w:lang w:val="id-ID"/>
        </w:rPr>
        <w:t xml:space="preserve"> agar membangun pemahaman siswa.</w:t>
      </w:r>
    </w:p>
    <w:p w:rsidR="00E00C37" w:rsidRPr="00D75340" w:rsidRDefault="00E00C37" w:rsidP="00E00C37">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lastRenderedPageBreak/>
        <w:t>Calon guru belum mampu menyadari terjadinya miskonsepsi yang dialami siswa, calon guru</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mengatakan tidak merasakan adanya miskonsepsi. Sedangkan siswa mengalami miskonsepsi dalam memahami dan penulisan simbol elemen. Siswa mengalami miskonsepsi mengenai arti dari elemen dikarenakan oleh calon guru sendiri yang salah dalam memberikan penjelasan. Pada akhir pembelajaran calon guru menyimpulkan materi yang telah dipelajari pada pertemuan tersebut bersama siswa, sehingga calon guru</w:t>
      </w:r>
      <w:r w:rsidRPr="00D75340">
        <w:rPr>
          <w:rFonts w:ascii="Times New Roman" w:hAnsi="Times New Roman"/>
          <w:sz w:val="24"/>
          <w:szCs w:val="24"/>
          <w:lang w:val="id-ID"/>
        </w:rPr>
        <w:t xml:space="preserve"> </w:t>
      </w:r>
      <w:r w:rsidRPr="00D75340">
        <w:rPr>
          <w:rFonts w:ascii="Times New Roman" w:eastAsiaTheme="majorEastAsia" w:hAnsi="Times New Roman"/>
          <w:sz w:val="24"/>
          <w:szCs w:val="24"/>
          <w:lang w:val="id-ID"/>
        </w:rPr>
        <w:t>merasa jika siswa tidak mengalami miskonsepsi. Dengan demikian, calon guru belum mampu untuk menyelidiki dan memahami miskonsepsi yang dialami siswa. Meskipun setelah melihat video observasi, calon guru baru menyadari terjadinya miskonsepi tersebut.</w:t>
      </w:r>
    </w:p>
    <w:p w:rsidR="00E00C37" w:rsidRPr="00D75340" w:rsidRDefault="00E00C37" w:rsidP="00E00C37">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 xml:space="preserve">Dari paparan tersebut, dapat diketahui bahwa kemampuan PCK calon guru matematika memiliki perbedaan antara mahasiswa yang memiliki IPK tinggi dan IPK sedang. Mahasiswa dengan IPK tinggi memiliki kemampuan PCK yang lebih baik dibandingkan dengan mahasiswa IPK sedang. Hal tersebut didukung penelitian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{"citationItems":[{"id":"ITEM-1","itemData":{"DOI":"10.33603/jnpm.v2i2.1291","ISSN":"2549-8495","abstract":"Penelitian ini bertujuan untuk melihat efektifitas instrument PCK yang digunakan untuk menganalisis kemampuan PCK calon guru matematika dan mengetahui perbedaan kemampuan PCK sebelum mengikuti program pengalaman lapangan dengan yang telah mengikuti program pengalaman lapangan. Penelitian ini menggunakan metodedeskriprif kualitatif, dimana mahasiswa tingkat 3G sebagai subjek penelitian.Hasil penelitian menunjukkan (1) kemampuan PCK calon guru matematika kelompok tinggi sudah baik sedangkan kelompok sedang dan rendah termasuk kategori cukup (2) Terdapat peerbedaan kemampuan PCK calon mahsiswa sebelum mengikuti program pengalaman lapangan dan yang telah mengikuti program pengalaman lapangan. Temuan tersebut dapat dijadikan dasar untuk melakukan penelitian mengenai strategi untuk mengembangkan kemampuan PCK calon guru matematika","author":[{"dropping-particle":"","family":"Aminah","given":"Neneng","non-dropping-particle":"","parse-names":false,"suffix":""},{"dropping-particle":"","family":"Wahyuni","given":"Ika","non-dropping-particle":"","parse-names":false,"suffix":""}],"container-title":"JNPM (Jurnal Nasional Pendidikan Matematika)","id":"ITEM-1","issue":"2","issued":{"date-parts":[["2018"]]},"page":"259","title":"Kemampuan Pedagogic Content Knowledge (PCK) Calon Guru Matematika Pada Program Pengalaman Lapangan di SMP/SMA Negeri Kota Cirebon","type":"article-journal","volume":"2"},"uris":["http://www.mendeley.com/documents/?uuid=441a5624-234a-4455-8c07-f1ab95ae793e"]}],"mendeley":{"formattedCitation":"(Aminah &amp; Wahyuni, 2018)","manualFormatting":"Aminah &amp; Wahyuni (2018)","plainTextFormattedCitation":"(Aminah &amp; Wahyuni, 2018)","previouslyFormattedCitation":"(Aminah &amp; Wahyuni, 2018)"},"properties":{"noteIndex":0},"schema":"https://github.com/citation-style-language/schema/raw/master/csl-citation.json"}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Aminah &amp; Wahyuni (2018)</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yang menyatakan bahwa terdapat perbedaan kemampuan PCK antara calon guru matematika kelompok tinggi dan sedang. </w:t>
      </w:r>
      <w:r w:rsidRPr="00D75340">
        <w:rPr>
          <w:rFonts w:ascii="Times New Roman" w:eastAsiaTheme="majorEastAsia" w:hAnsi="Times New Roman"/>
          <w:sz w:val="24"/>
          <w:szCs w:val="24"/>
          <w:lang w:val="id-ID"/>
        </w:rPr>
        <w:fldChar w:fldCharType="begin" w:fldLock="1"/>
      </w:r>
      <w:r w:rsidRPr="00D75340">
        <w:rPr>
          <w:rFonts w:ascii="Times New Roman" w:eastAsiaTheme="majorEastAsia" w:hAnsi="Times New Roman"/>
          <w:sz w:val="24"/>
          <w:szCs w:val="24"/>
          <w:lang w:val="id-ID"/>
        </w:rPr>
        <w:instrText>ADDIN CSL_CITATION {"citationItems":[{"id":"ITEM-1","itemData":{"author":[{"dropping-particle":"","family":"Santosa","given":"Muh. Gilang Wahyu","non-dropping-particle":"","parse-names":false,"suffix":""},{"dropping-particle":"","family":"Kusumaningsih","given":"Widya","non-dropping-particle":"","parse-names":false,"suffix":""},{"dropping-particle":"","family":"Endahwuri","given":"Dhian","non-dropping-particle":"","parse-names":false,"suffix":""}],"container-title":"Imajiner: Jurnal Matematika dan Pendidikan Matematika","id":"ITEM-1","issue":"5","issued":{"date-parts":[["2019"]]},"page":"185-189","title":"Profil Pedagogical Content Knowledge ( PCK ) Calon Guru Matematika Dalam Kesiapan Mengajar","type":"article-journal","volume":"1"},"uris":["http://www.mendeley.com/documents/?uuid=85e22203-7c3e-44e3-a890-355ce1227dbf"]}],"mendeley":{"formattedCitation":"(Santosa et al., 2019)","manualFormatting":"Santosa et al (2019)","plainTextFormattedCitation":"(Santosa et al., 2019)","previouslyFormattedCitation":"(Santosa et al., 2019)"},"properties":{"noteIndex":0},"schema":"https://github.com/citation-style-language/schema/raw/master/csl-citation.json"}</w:instrText>
      </w:r>
      <w:r w:rsidRPr="00D75340">
        <w:rPr>
          <w:rFonts w:ascii="Times New Roman" w:eastAsiaTheme="majorEastAsia" w:hAnsi="Times New Roman"/>
          <w:sz w:val="24"/>
          <w:szCs w:val="24"/>
          <w:lang w:val="id-ID"/>
        </w:rPr>
        <w:fldChar w:fldCharType="separate"/>
      </w:r>
      <w:r w:rsidRPr="00D75340">
        <w:rPr>
          <w:rFonts w:ascii="Times New Roman" w:eastAsiaTheme="majorEastAsia" w:hAnsi="Times New Roman"/>
          <w:noProof/>
          <w:sz w:val="24"/>
          <w:szCs w:val="24"/>
          <w:lang w:val="id-ID"/>
        </w:rPr>
        <w:t>Santosa et al (2019)</w:t>
      </w:r>
      <w:r w:rsidRPr="00D75340">
        <w:rPr>
          <w:rFonts w:ascii="Times New Roman" w:eastAsiaTheme="majorEastAsia" w:hAnsi="Times New Roman"/>
          <w:sz w:val="24"/>
          <w:szCs w:val="24"/>
          <w:lang w:val="id-ID"/>
        </w:rPr>
        <w:fldChar w:fldCharType="end"/>
      </w:r>
      <w:r w:rsidRPr="00D75340">
        <w:rPr>
          <w:rFonts w:ascii="Times New Roman" w:eastAsiaTheme="majorEastAsia" w:hAnsi="Times New Roman"/>
          <w:sz w:val="24"/>
          <w:szCs w:val="24"/>
          <w:lang w:val="id-ID"/>
        </w:rPr>
        <w:t xml:space="preserve"> juga menyatakan bahwa calon guru matematika dengan IPK tinggi memiliki kemampuan PCK dalam kesiapan mengajar yang lebih baik dari calon guru matematika dengan IPK sedang. Dalam penelitian ini, hal tersebut ditunjukkan dengan perbedaan perolehan hasil observasi pembelajaran. Calon guru dengan IPK tinggi mampu memenuhi seluruh aspek yang terdiri dari 17 aspek. Sedangkan calon guru dengan IPK sedang belum mampu memenuhi seluruh aspek dan hanya memenuhi 11 aspek. Adanya perbedaan kemampuan akademik dari kedua calon guru tersebut, menyebabkan kemampuan PCK calon guru matematika yang berkeyakinan platonis dan memiliki IPK tinggi berbeda dengan calon guru matematika yang berkeyakinan platonis dan memiliki IPK sedang. Akan tetapi, kedua calon guru matematika yang berkeyakinan platonis melakukan proses pembelajaran yang serupa dengan keyakinannya.</w:t>
      </w:r>
    </w:p>
    <w:tbl>
      <w:tblPr>
        <w:tblStyle w:val="ae"/>
        <w:tblW w:w="90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061"/>
      </w:tblGrid>
      <w:tr w:rsidR="00DF294C" w:rsidRPr="00D75340">
        <w:trPr>
          <w:trHeight w:val="20"/>
        </w:trPr>
        <w:tc>
          <w:tcPr>
            <w:tcW w:w="9061" w:type="dxa"/>
            <w:shd w:val="clear" w:color="auto" w:fill="00B050"/>
            <w:vAlign w:val="center"/>
          </w:tcPr>
          <w:p w:rsidR="00DF294C" w:rsidRPr="00D75340" w:rsidRDefault="00D5420C">
            <w:pPr>
              <w:pBdr>
                <w:top w:val="nil"/>
                <w:left w:val="nil"/>
                <w:bottom w:val="nil"/>
                <w:right w:val="nil"/>
                <w:between w:val="nil"/>
              </w:pBdr>
              <w:tabs>
                <w:tab w:val="left" w:pos="142"/>
              </w:tabs>
              <w:spacing w:after="0"/>
              <w:jc w:val="both"/>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Kesimpulan dan Saran</w:t>
            </w:r>
            <w:r w:rsidR="00983431" w:rsidRPr="00D75340">
              <w:rPr>
                <w:rFonts w:ascii="Times New Roman" w:eastAsia="Times New Roman" w:hAnsi="Times New Roman"/>
                <w:b/>
                <w:sz w:val="24"/>
                <w:szCs w:val="24"/>
                <w:lang w:val="id-ID"/>
              </w:rPr>
              <w:t xml:space="preserve"> </w:t>
            </w:r>
          </w:p>
        </w:tc>
      </w:tr>
    </w:tbl>
    <w:p w:rsidR="00D5420C" w:rsidRPr="00D75340" w:rsidRDefault="00D5420C" w:rsidP="00D5420C">
      <w:pPr>
        <w:spacing w:after="0"/>
        <w:ind w:firstLine="540"/>
        <w:jc w:val="both"/>
        <w:rPr>
          <w:rFonts w:ascii="Times New Roman" w:hAnsi="Times New Roman"/>
          <w:sz w:val="24"/>
          <w:szCs w:val="24"/>
          <w:lang w:val="id-ID"/>
        </w:rPr>
      </w:pPr>
      <w:r w:rsidRPr="00D75340">
        <w:rPr>
          <w:rFonts w:ascii="Times New Roman" w:eastAsiaTheme="majorEastAsia" w:hAnsi="Times New Roman"/>
          <w:sz w:val="24"/>
          <w:szCs w:val="24"/>
          <w:lang w:val="id-ID"/>
        </w:rPr>
        <w:t xml:space="preserve">Berdasarkan hasil dan pembahasan yang diperoleh, diketahui calon guru matematika yang berkeyakinan platonis memiliki kemampuan PCK berbeda antara calon guru yang memiliki IPK tinggi dan IPK sedang. Calon guru dengan IPK tinggi memiliki kemampuan PCK yang lebih baik dibandingkan dengan calon guru yang memiliki IPK sedang. Akan tetapi, calon guru matematika berkeyakinan platonis melakukan proses pembelajaran yang serupa dengan keyakinannya. Calon guru memahami materi matematika sebagai pengetahuan yang tetap dan jelas, menerapkan pembelajaran yang berpusat pada guru agar </w:t>
      </w:r>
      <w:r w:rsidRPr="00D75340">
        <w:rPr>
          <w:rFonts w:ascii="Times New Roman" w:hAnsi="Times New Roman"/>
          <w:sz w:val="24"/>
          <w:szCs w:val="24"/>
          <w:lang w:val="id-ID"/>
        </w:rPr>
        <w:t>penyampaian materi fokus pada pemahaman</w:t>
      </w:r>
      <w:r w:rsidRPr="00D75340">
        <w:rPr>
          <w:rFonts w:ascii="Times New Roman" w:eastAsiaTheme="majorEastAsia" w:hAnsi="Times New Roman"/>
          <w:sz w:val="24"/>
          <w:szCs w:val="24"/>
          <w:lang w:val="id-ID"/>
        </w:rPr>
        <w:t xml:space="preserve">, dan </w:t>
      </w:r>
      <w:r w:rsidRPr="00D75340">
        <w:rPr>
          <w:rFonts w:ascii="Times New Roman" w:hAnsi="Times New Roman"/>
          <w:sz w:val="24"/>
          <w:szCs w:val="24"/>
          <w:lang w:val="id-ID"/>
        </w:rPr>
        <w:t xml:space="preserve">menerapkan aktivitas belajar yang didasarkan pada kegiatan membangun pemahaman, dan kegiatan mengkaji kembali pembelajaran. </w:t>
      </w:r>
    </w:p>
    <w:p w:rsidR="00D5420C" w:rsidRPr="00D75340" w:rsidRDefault="00D5420C" w:rsidP="00D5420C">
      <w:pPr>
        <w:pStyle w:val="ListParagraph"/>
        <w:ind w:left="0" w:firstLine="540"/>
        <w:jc w:val="both"/>
        <w:rPr>
          <w:rFonts w:ascii="Times New Roman" w:eastAsiaTheme="majorEastAsia" w:hAnsi="Times New Roman"/>
          <w:sz w:val="24"/>
          <w:szCs w:val="24"/>
          <w:lang w:val="id-ID"/>
        </w:rPr>
      </w:pPr>
      <w:r w:rsidRPr="00D75340">
        <w:rPr>
          <w:rFonts w:ascii="Times New Roman" w:eastAsiaTheme="majorEastAsia" w:hAnsi="Times New Roman"/>
          <w:sz w:val="24"/>
          <w:szCs w:val="24"/>
          <w:lang w:val="id-ID"/>
        </w:rPr>
        <w:t xml:space="preserve">Saran yang dapat disampaikan adalah: a) Bagi calon guru matematika diharapkan sejak dini mengenal pentingnya PCK dan melatih diri mengimplementasikan teori perkuliahan yang telah diperoleh untuk meningkatkan kemampuan PCK dalam pembelajaran matematika, sehingga bisa dijadikan bekal pada saat menjadi guru. Selain itu, diharapkan calon guru dapat mengembangkan keyakinannya terhadap pembelajaran matematika sehingga dapat menerapkan pembelajaran sesuai dengan Kurikulum 2013 yang berlaku di Indonesia dimana </w:t>
      </w:r>
      <w:r w:rsidRPr="00D75340">
        <w:rPr>
          <w:rFonts w:ascii="Times New Roman" w:eastAsiaTheme="majorEastAsia" w:hAnsi="Times New Roman"/>
          <w:sz w:val="24"/>
          <w:szCs w:val="24"/>
          <w:lang w:val="id-ID"/>
        </w:rPr>
        <w:lastRenderedPageBreak/>
        <w:t>pendidik dituntut memfasilitasi siswa untuk menggali infromasi, aktif bertanya, dan menghubungkan informasi dalam membentuk pemahaman matematis; b) Bagi dosen jurusan pendidikan matematika sebaiknya menjadikan hasil penelitian ini sebagai rujukan dalam perkuliahan untuk memberikan pemahaman mengenai pentingnya pengetahuan konten pedagogis yang dapat membantu meningkatkan wawasan calon guru terhadap PCK. Selain itu, bisa memberikan masukan dan pengalaman yang dapat memperbaiki keyakinan calon guru matematika; c) Bagi peneliti selanjutnya diharapkan melakukan penelitian yang lebih kompleks mengenai kemampuan PCK calon guru matematika berdasarkan indikator PCK yang lainnya dan keyakinan metematika yang diteliti tidak hanya pada tipe keyakinan platonis.</w:t>
      </w:r>
    </w:p>
    <w:tbl>
      <w:tblPr>
        <w:tblStyle w:val="af"/>
        <w:tblW w:w="90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061"/>
      </w:tblGrid>
      <w:tr w:rsidR="00DF294C" w:rsidRPr="00D75340">
        <w:trPr>
          <w:trHeight w:val="20"/>
        </w:trPr>
        <w:tc>
          <w:tcPr>
            <w:tcW w:w="9061" w:type="dxa"/>
            <w:shd w:val="clear" w:color="auto" w:fill="00B050"/>
            <w:vAlign w:val="center"/>
          </w:tcPr>
          <w:p w:rsidR="00DF294C" w:rsidRPr="00D75340" w:rsidRDefault="00D5420C" w:rsidP="00D5420C">
            <w:pPr>
              <w:pBdr>
                <w:top w:val="nil"/>
                <w:left w:val="nil"/>
                <w:bottom w:val="nil"/>
                <w:right w:val="nil"/>
                <w:between w:val="nil"/>
              </w:pBdr>
              <w:spacing w:after="0" w:line="240" w:lineRule="auto"/>
              <w:rPr>
                <w:rFonts w:ascii="Times New Roman" w:eastAsia="Times New Roman" w:hAnsi="Times New Roman"/>
                <w:b/>
                <w:sz w:val="24"/>
                <w:szCs w:val="24"/>
                <w:lang w:val="id-ID"/>
              </w:rPr>
            </w:pPr>
            <w:r w:rsidRPr="00D75340">
              <w:rPr>
                <w:rFonts w:ascii="Times New Roman" w:eastAsia="Times New Roman" w:hAnsi="Times New Roman"/>
                <w:b/>
                <w:sz w:val="24"/>
                <w:szCs w:val="24"/>
                <w:lang w:val="id-ID"/>
              </w:rPr>
              <w:t>Referensi</w:t>
            </w:r>
          </w:p>
        </w:tc>
      </w:tr>
    </w:tbl>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eastAsia="Times New Roman" w:hAnsi="Times New Roman"/>
          <w:sz w:val="24"/>
          <w:szCs w:val="24"/>
          <w:lang w:val="id-ID"/>
        </w:rPr>
        <w:fldChar w:fldCharType="begin" w:fldLock="1"/>
      </w:r>
      <w:r w:rsidRPr="00D75340">
        <w:rPr>
          <w:rFonts w:ascii="Times New Roman" w:eastAsia="Times New Roman" w:hAnsi="Times New Roman"/>
          <w:sz w:val="24"/>
          <w:szCs w:val="24"/>
          <w:lang w:val="id-ID"/>
        </w:rPr>
        <w:instrText xml:space="preserve">ADDIN Mendeley Bibliography CSL_BIBLIOGRAPHY </w:instrText>
      </w:r>
      <w:r w:rsidRPr="00D75340">
        <w:rPr>
          <w:rFonts w:ascii="Times New Roman" w:eastAsia="Times New Roman" w:hAnsi="Times New Roman"/>
          <w:sz w:val="24"/>
          <w:szCs w:val="24"/>
          <w:lang w:val="id-ID"/>
        </w:rPr>
        <w:fldChar w:fldCharType="separate"/>
      </w:r>
      <w:r w:rsidRPr="00D75340">
        <w:rPr>
          <w:rFonts w:ascii="Times New Roman" w:hAnsi="Times New Roman"/>
          <w:noProof/>
          <w:sz w:val="24"/>
          <w:szCs w:val="24"/>
          <w:lang w:val="id-ID"/>
        </w:rPr>
        <w:t xml:space="preserve">Aminah, N., &amp; Wahyuni, I. (2018). Kemampuan Pedagogic Content Knowledge (PCK) Calon Guru Matematika Pada Program Pengalaman Lapangan di SMP/SMA Negeri Kota Cirebon. </w:t>
      </w:r>
      <w:r w:rsidRPr="00D75340">
        <w:rPr>
          <w:rFonts w:ascii="Times New Roman" w:hAnsi="Times New Roman"/>
          <w:i/>
          <w:iCs/>
          <w:noProof/>
          <w:sz w:val="24"/>
          <w:szCs w:val="24"/>
          <w:lang w:val="id-ID"/>
        </w:rPr>
        <w:t>JNPM (Jurnal Nasional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2</w:t>
      </w:r>
      <w:r w:rsidRPr="00D75340">
        <w:rPr>
          <w:rFonts w:ascii="Times New Roman" w:hAnsi="Times New Roman"/>
          <w:noProof/>
          <w:sz w:val="24"/>
          <w:szCs w:val="24"/>
          <w:lang w:val="id-ID"/>
        </w:rPr>
        <w:t>(2), 259. https://doi.org/10.33603/jnpm.v2i2.1291</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Anshori, M. H., Sulistiani, I. R., &amp; Fita, M. (2019). Hubungan Self-Efficacy dan Adiksi Media Sosial dengan Prestasi Akademik Mahasiswa Fakultas Agama Islam. </w:t>
      </w:r>
      <w:r w:rsidRPr="00D75340">
        <w:rPr>
          <w:rFonts w:ascii="Times New Roman" w:hAnsi="Times New Roman"/>
          <w:i/>
          <w:iCs/>
          <w:noProof/>
          <w:sz w:val="24"/>
          <w:szCs w:val="24"/>
          <w:lang w:val="id-ID"/>
        </w:rPr>
        <w:t>VICRATINA: Jurnal Pendidikan Islam</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4</w:t>
      </w:r>
      <w:r w:rsidRPr="00D75340">
        <w:rPr>
          <w:rFonts w:ascii="Times New Roman" w:hAnsi="Times New Roman"/>
          <w:noProof/>
          <w:sz w:val="24"/>
          <w:szCs w:val="24"/>
          <w:lang w:val="id-ID"/>
        </w:rPr>
        <w:t>(5), 93–99. http://riset.unisma.ac.id/index.php/fai/index</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Ayuningtyas, A. D., &amp; Apriandi, D. (2020). Pedagogical Content Knowledge (PCK) pada Mahasiswa Calon Guru Matematika. </w:t>
      </w:r>
      <w:r w:rsidRPr="00D75340">
        <w:rPr>
          <w:rFonts w:ascii="Times New Roman" w:hAnsi="Times New Roman"/>
          <w:i/>
          <w:iCs/>
          <w:noProof/>
          <w:sz w:val="24"/>
          <w:szCs w:val="24"/>
          <w:lang w:val="id-ID"/>
        </w:rPr>
        <w:t>NUMERICAL: Jurnal Matematika Dan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3</w:t>
      </w:r>
      <w:r w:rsidRPr="00D75340">
        <w:rPr>
          <w:rFonts w:ascii="Times New Roman" w:hAnsi="Times New Roman"/>
          <w:noProof/>
          <w:sz w:val="24"/>
          <w:szCs w:val="24"/>
          <w:lang w:val="id-ID"/>
        </w:rPr>
        <w:t>, 119–130. https://doi.org/10.25217/numerical.v3i2.616</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Barut, M. E. O., Wijaya, A., &amp; Retnawati, H. (2020). Hubungan Pedagogical Content Knowledge Guru Matematika dan Prestasi Belajar Siswa Sekolah Menengah Pertama. </w:t>
      </w:r>
      <w:r w:rsidRPr="00D75340">
        <w:rPr>
          <w:rFonts w:ascii="Times New Roman" w:hAnsi="Times New Roman"/>
          <w:i/>
          <w:iCs/>
          <w:noProof/>
          <w:sz w:val="24"/>
          <w:szCs w:val="24"/>
          <w:lang w:val="id-ID"/>
        </w:rPr>
        <w:t>PYTHAGORAS: Jurnal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15</w:t>
      </w:r>
      <w:r w:rsidRPr="00D75340">
        <w:rPr>
          <w:rFonts w:ascii="Times New Roman" w:hAnsi="Times New Roman"/>
          <w:noProof/>
          <w:sz w:val="24"/>
          <w:szCs w:val="24"/>
          <w:lang w:val="id-ID"/>
        </w:rPr>
        <w:t>(2), 178–189.</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Dassa, A., Arwadi, F., &amp; Faradiyah, A. R. (2020). Deskripsi Pengetahuan Konten Pedagogi Mahasiswa Calon Guru Jurusan Matematika FMIPA UNM. </w:t>
      </w:r>
      <w:r w:rsidRPr="00D75340">
        <w:rPr>
          <w:rFonts w:ascii="Times New Roman" w:hAnsi="Times New Roman"/>
          <w:i/>
          <w:iCs/>
          <w:noProof/>
          <w:sz w:val="24"/>
          <w:szCs w:val="24"/>
          <w:lang w:val="id-ID"/>
        </w:rPr>
        <w:t>Issues in Mathematics Education</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4</w:t>
      </w:r>
      <w:r w:rsidRPr="00D75340">
        <w:rPr>
          <w:rFonts w:ascii="Times New Roman" w:hAnsi="Times New Roman"/>
          <w:noProof/>
          <w:sz w:val="24"/>
          <w:szCs w:val="24"/>
          <w:lang w:val="id-ID"/>
        </w:rPr>
        <w:t>(2), 208–216.</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Irawan, Y., Purnamasari, I., Asfifah, R. M., Karami, Y., &amp; Alfiah, S. (2021). Analisis Kompetensi Pedagogical Content Knowledge Mahasiswa Calon Guru Matematika. </w:t>
      </w:r>
      <w:r w:rsidRPr="00D75340">
        <w:rPr>
          <w:rFonts w:ascii="Times New Roman" w:hAnsi="Times New Roman"/>
          <w:i/>
          <w:iCs/>
          <w:noProof/>
          <w:sz w:val="24"/>
          <w:szCs w:val="24"/>
          <w:lang w:val="id-ID"/>
        </w:rPr>
        <w:t>Jurnal Ilmiah Mahasiswa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w:t>
      </w:r>
      <w:r w:rsidRPr="00D75340">
        <w:rPr>
          <w:rFonts w:ascii="Times New Roman" w:hAnsi="Times New Roman"/>
          <w:noProof/>
          <w:sz w:val="24"/>
          <w:szCs w:val="24"/>
          <w:lang w:val="id-ID"/>
        </w:rPr>
        <w:t>(80), 63–76.</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Kim, S. (2018). Technological, Pedagogical, and Content Knowledge (TPACK) and Beliefs of Preservice Secondary Mathematics Teachers: Examining the Relationships. </w:t>
      </w:r>
      <w:r w:rsidRPr="00D75340">
        <w:rPr>
          <w:rFonts w:ascii="Times New Roman" w:hAnsi="Times New Roman"/>
          <w:i/>
          <w:iCs/>
          <w:noProof/>
          <w:sz w:val="24"/>
          <w:szCs w:val="24"/>
          <w:lang w:val="id-ID"/>
        </w:rPr>
        <w:t>Eurasia Journal of Mathematics, Science and Technology Education</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14</w:t>
      </w:r>
      <w:r w:rsidRPr="00D75340">
        <w:rPr>
          <w:rFonts w:ascii="Times New Roman" w:hAnsi="Times New Roman"/>
          <w:noProof/>
          <w:sz w:val="24"/>
          <w:szCs w:val="24"/>
          <w:lang w:val="id-ID"/>
        </w:rPr>
        <w:t>(10), 1–24. https://doi.org/10.29333/ejmste/93179</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lastRenderedPageBreak/>
        <w:t xml:space="preserve">Makaraka, A., Ilyas, M., &amp; Cokroaminoto Palopo, U. (2021). Analisis Pedagogical Content Knowledge (PCK) Mahasiswa Perempuan Calon Guru dalam Pembelajaran Matematika Ditinjau Dari Perbedaan Prestasi Akademik. </w:t>
      </w:r>
      <w:r w:rsidRPr="00D75340">
        <w:rPr>
          <w:rFonts w:ascii="Times New Roman" w:hAnsi="Times New Roman"/>
          <w:i/>
          <w:iCs/>
          <w:noProof/>
          <w:sz w:val="24"/>
          <w:szCs w:val="24"/>
          <w:lang w:val="id-ID"/>
        </w:rPr>
        <w:t>Proximal: Jurnal Penelitian Matematika Dan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4</w:t>
      </w:r>
      <w:r w:rsidRPr="00D75340">
        <w:rPr>
          <w:rFonts w:ascii="Times New Roman" w:hAnsi="Times New Roman"/>
          <w:noProof/>
          <w:sz w:val="24"/>
          <w:szCs w:val="24"/>
          <w:lang w:val="id-ID"/>
        </w:rPr>
        <w:t>(2), 56–63. https://e-journal.my.id/proximal/article/view/1336</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Maryono. (2015). Analisis Pedagogical Content Knowledge (PCK) Guru Matematika dan Praktik Pembelajarannya. </w:t>
      </w:r>
      <w:r w:rsidRPr="00D75340">
        <w:rPr>
          <w:rFonts w:ascii="Times New Roman" w:hAnsi="Times New Roman"/>
          <w:i/>
          <w:iCs/>
          <w:noProof/>
          <w:sz w:val="24"/>
          <w:szCs w:val="24"/>
          <w:lang w:val="id-ID"/>
        </w:rPr>
        <w:t>JP2M (Jurnal Pendidikan Dan Pembelajaran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w:t>
      </w:r>
      <w:r w:rsidRPr="00D75340">
        <w:rPr>
          <w:rFonts w:ascii="Times New Roman" w:hAnsi="Times New Roman"/>
          <w:noProof/>
          <w:sz w:val="24"/>
          <w:szCs w:val="24"/>
          <w:lang w:val="id-ID"/>
        </w:rPr>
        <w:t>(2), 58. https://doi.org/10.29100/jp2m.v1i2.200</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Maryono. (2016). Profil Pedagogical Content Knowledge (PCK) Mahasiswa Calon Guru Matematika Ditinjau dari Kemampuan Akademiknya. </w:t>
      </w:r>
      <w:r w:rsidRPr="00D75340">
        <w:rPr>
          <w:rFonts w:ascii="Times New Roman" w:hAnsi="Times New Roman"/>
          <w:i/>
          <w:iCs/>
          <w:noProof/>
          <w:sz w:val="24"/>
          <w:szCs w:val="24"/>
          <w:lang w:val="id-ID"/>
        </w:rPr>
        <w:t>Jurnal Review Pembelajaran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w:t>
      </w:r>
      <w:r w:rsidRPr="00D75340">
        <w:rPr>
          <w:rFonts w:ascii="Times New Roman" w:hAnsi="Times New Roman"/>
          <w:noProof/>
          <w:sz w:val="24"/>
          <w:szCs w:val="24"/>
          <w:lang w:val="id-ID"/>
        </w:rPr>
        <w:t>(1), 1–16. https://doi.org/10.15642/jrpm.2016.1.1.1-16</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Muhtarom, Juniati, D., &amp; Siswono, T. Y. E. (2017). Consistency and Inconsistency of Prospective Teachers’ Beliefs in Mathematics, Teaching, Learning and Problem Solving. </w:t>
      </w:r>
      <w:r w:rsidRPr="00D75340">
        <w:rPr>
          <w:rFonts w:ascii="Times New Roman" w:hAnsi="Times New Roman"/>
          <w:i/>
          <w:iCs/>
          <w:noProof/>
          <w:sz w:val="24"/>
          <w:szCs w:val="24"/>
          <w:lang w:val="id-ID"/>
        </w:rPr>
        <w:t>AIP Conference Proceedings</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1868</w:t>
      </w:r>
      <w:r w:rsidRPr="00D75340">
        <w:rPr>
          <w:rFonts w:ascii="Times New Roman" w:hAnsi="Times New Roman"/>
          <w:noProof/>
          <w:sz w:val="24"/>
          <w:szCs w:val="24"/>
          <w:lang w:val="id-ID"/>
        </w:rPr>
        <w:t>(August), 1–6. https://doi.org/10.1063/1.4995141</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Muhtarom, Juniati, D., &amp; Siswono, T. Y. E. (2019). Examining Prospective Teachers’ Belief and Pedagogical Content Knowledge Towards Teaching Practice in Mathematics Class: A Case Study. </w:t>
      </w:r>
      <w:r w:rsidRPr="00D75340">
        <w:rPr>
          <w:rFonts w:ascii="Times New Roman" w:hAnsi="Times New Roman"/>
          <w:i/>
          <w:iCs/>
          <w:noProof/>
          <w:sz w:val="24"/>
          <w:szCs w:val="24"/>
          <w:lang w:val="id-ID"/>
        </w:rPr>
        <w:t>Journal on Mathematics Education</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10</w:t>
      </w:r>
      <w:r w:rsidRPr="00D75340">
        <w:rPr>
          <w:rFonts w:ascii="Times New Roman" w:hAnsi="Times New Roman"/>
          <w:noProof/>
          <w:sz w:val="24"/>
          <w:szCs w:val="24"/>
          <w:lang w:val="id-ID"/>
        </w:rPr>
        <w:t>(2), 185–202. https://doi.org/10.22342/jme.10.2.7326.185-202</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Muhtarom, Siswono, T. Y. E., &amp; Juniati, D. (2020). Climber Prospective Teacher: Relationship Beliefs and Mathematics Teaching Practice. </w:t>
      </w:r>
      <w:r w:rsidRPr="00D75340">
        <w:rPr>
          <w:rFonts w:ascii="Times New Roman" w:hAnsi="Times New Roman"/>
          <w:i/>
          <w:iCs/>
          <w:noProof/>
          <w:sz w:val="24"/>
          <w:szCs w:val="24"/>
          <w:lang w:val="id-ID"/>
        </w:rPr>
        <w:t>Al-Jabar : Jurnal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11</w:t>
      </w:r>
      <w:r w:rsidRPr="00D75340">
        <w:rPr>
          <w:rFonts w:ascii="Times New Roman" w:hAnsi="Times New Roman"/>
          <w:noProof/>
          <w:sz w:val="24"/>
          <w:szCs w:val="24"/>
          <w:lang w:val="id-ID"/>
        </w:rPr>
        <w:t>(1), 83–92. https://doi.org/10.24042/ajpm.v11i1.6103</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Nasrullah, Johar, R., &amp; Munzir, S. (2019). Kemampuan Pemecahan Masalah dan Keyakinan Calon Guru dalam Menyelesaikan Soal Pemecahan Masalah. </w:t>
      </w:r>
      <w:r w:rsidRPr="00D75340">
        <w:rPr>
          <w:rFonts w:ascii="Times New Roman" w:hAnsi="Times New Roman"/>
          <w:i/>
          <w:iCs/>
          <w:noProof/>
          <w:sz w:val="24"/>
          <w:szCs w:val="24"/>
          <w:lang w:val="id-ID"/>
        </w:rPr>
        <w:t>Jurnal Pendidikan</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4</w:t>
      </w:r>
      <w:r w:rsidRPr="00D75340">
        <w:rPr>
          <w:rFonts w:ascii="Times New Roman" w:hAnsi="Times New Roman"/>
          <w:noProof/>
          <w:sz w:val="24"/>
          <w:szCs w:val="24"/>
          <w:lang w:val="id-ID"/>
        </w:rPr>
        <w:t>(3), 346–362.</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Novikasari, I. (2016). Tiga Tipe Keyakinan Matematika Guru. </w:t>
      </w:r>
      <w:r w:rsidRPr="00D75340">
        <w:rPr>
          <w:rFonts w:ascii="Times New Roman" w:hAnsi="Times New Roman"/>
          <w:i/>
          <w:iCs/>
          <w:noProof/>
          <w:sz w:val="24"/>
          <w:szCs w:val="24"/>
          <w:lang w:val="id-ID"/>
        </w:rPr>
        <w:t>Seminar Nasional Matematikan Dan Pendidikan Matematika UNY</w:t>
      </w:r>
      <w:r w:rsidRPr="00D75340">
        <w:rPr>
          <w:rFonts w:ascii="Times New Roman" w:hAnsi="Times New Roman"/>
          <w:noProof/>
          <w:sz w:val="24"/>
          <w:szCs w:val="24"/>
          <w:lang w:val="id-ID"/>
        </w:rPr>
        <w:t xml:space="preserve">, 377–380. </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Pagiling, S. L., Palobo, M., &amp; Mayasari, D. (2021). Preservice teacher belief on nature of mathematics and mathematics teaching and tearning: A quantitative study. </w:t>
      </w:r>
      <w:r w:rsidRPr="00D75340">
        <w:rPr>
          <w:rFonts w:ascii="Times New Roman" w:hAnsi="Times New Roman"/>
          <w:i/>
          <w:iCs/>
          <w:noProof/>
          <w:sz w:val="24"/>
          <w:szCs w:val="24"/>
          <w:lang w:val="id-ID"/>
        </w:rPr>
        <w:t>Journal of Physics: Conference Series</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1806</w:t>
      </w:r>
      <w:r w:rsidRPr="00D75340">
        <w:rPr>
          <w:rFonts w:ascii="Times New Roman" w:hAnsi="Times New Roman"/>
          <w:noProof/>
          <w:sz w:val="24"/>
          <w:szCs w:val="24"/>
          <w:lang w:val="id-ID"/>
        </w:rPr>
        <w:t>(1), 1–5. https://doi.org/10.1088/1742-6596/1806/1/012111</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Safrudiannur, S., Labulan, P. M., Suriaty, S., &amp; Rott, B. (2021). Beliefs About School Mathematics vs. University Mathematics and Beliefs About Teaching and Learning in Different Contexts of Students’ Achievement. </w:t>
      </w:r>
      <w:r w:rsidRPr="00D75340">
        <w:rPr>
          <w:rFonts w:ascii="Times New Roman" w:hAnsi="Times New Roman"/>
          <w:i/>
          <w:iCs/>
          <w:noProof/>
          <w:sz w:val="24"/>
          <w:szCs w:val="24"/>
          <w:lang w:val="id-ID"/>
        </w:rPr>
        <w:t>Beta: Jurnal Tadris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14</w:t>
      </w:r>
      <w:r w:rsidRPr="00D75340">
        <w:rPr>
          <w:rFonts w:ascii="Times New Roman" w:hAnsi="Times New Roman"/>
          <w:noProof/>
          <w:sz w:val="24"/>
          <w:szCs w:val="24"/>
          <w:lang w:val="id-ID"/>
        </w:rPr>
        <w:t>(1), 1–14. https://doi.org/10.20414/betajtm.v14i1.439</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lastRenderedPageBreak/>
        <w:t xml:space="preserve">Santosa, M. G. W., Kusumaningsih, W., &amp; Endahwuri, D. (2019). Profil Pedagogical Content Knowledge ( PCK ) Calon Guru Matematika Dalam Kesiapan Mengajar. </w:t>
      </w:r>
      <w:r w:rsidRPr="00D75340">
        <w:rPr>
          <w:rFonts w:ascii="Times New Roman" w:hAnsi="Times New Roman"/>
          <w:i/>
          <w:iCs/>
          <w:noProof/>
          <w:sz w:val="24"/>
          <w:szCs w:val="24"/>
          <w:lang w:val="id-ID"/>
        </w:rPr>
        <w:t>Imajiner: Jurnal Matematika Dan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w:t>
      </w:r>
      <w:r w:rsidRPr="00D75340">
        <w:rPr>
          <w:rFonts w:ascii="Times New Roman" w:hAnsi="Times New Roman"/>
          <w:noProof/>
          <w:sz w:val="24"/>
          <w:szCs w:val="24"/>
          <w:lang w:val="id-ID"/>
        </w:rPr>
        <w:t>(5), 185–189.</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Sarwah, Ma’rufi, &amp; Ilyas, M. (2019). Pedagogik Content Knowledge Mahasiswa Laki-Laki Calon Guru Dalam Pembelajaran Matematika SMA Ditinjau Dari Kemampuan. </w:t>
      </w:r>
      <w:r w:rsidRPr="00D75340">
        <w:rPr>
          <w:rFonts w:ascii="Times New Roman" w:hAnsi="Times New Roman"/>
          <w:i/>
          <w:iCs/>
          <w:noProof/>
          <w:sz w:val="24"/>
          <w:szCs w:val="24"/>
          <w:lang w:val="id-ID"/>
        </w:rPr>
        <w:t>JURNAL Penelitian Matematika Dan Pendidikan Matematika</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2</w:t>
      </w:r>
      <w:r w:rsidRPr="00D75340">
        <w:rPr>
          <w:rFonts w:ascii="Times New Roman" w:hAnsi="Times New Roman"/>
          <w:noProof/>
          <w:sz w:val="24"/>
          <w:szCs w:val="24"/>
          <w:lang w:val="id-ID"/>
        </w:rPr>
        <w:t>(2), 98–108.</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Siswono, T Y E, Kohar, A. W., Hartono, S., Indahwati, T., &amp; Irvan, M. (2019). Beliefs, Knowledge, Teaching Practice : Three Factors Affecting the Quality of Teacher’s Mathematical Problem-Solving. </w:t>
      </w:r>
      <w:r w:rsidRPr="00D75340">
        <w:rPr>
          <w:rFonts w:ascii="Times New Roman" w:hAnsi="Times New Roman"/>
          <w:i/>
          <w:iCs/>
          <w:noProof/>
          <w:sz w:val="24"/>
          <w:szCs w:val="24"/>
          <w:lang w:val="id-ID"/>
        </w:rPr>
        <w:t>Journal of Physics: Conference Series PAPER</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1</w:t>
      </w:r>
      <w:r w:rsidRPr="00D75340">
        <w:rPr>
          <w:rFonts w:ascii="Times New Roman" w:hAnsi="Times New Roman"/>
          <w:noProof/>
          <w:sz w:val="24"/>
          <w:szCs w:val="24"/>
          <w:lang w:val="id-ID"/>
        </w:rPr>
        <w:t>–</w:t>
      </w:r>
      <w:r w:rsidRPr="00D75340">
        <w:rPr>
          <w:rFonts w:ascii="Times New Roman" w:hAnsi="Times New Roman"/>
          <w:i/>
          <w:iCs/>
          <w:noProof/>
          <w:sz w:val="24"/>
          <w:szCs w:val="24"/>
          <w:lang w:val="id-ID"/>
        </w:rPr>
        <w:t>9</w:t>
      </w:r>
      <w:r w:rsidRPr="00D75340">
        <w:rPr>
          <w:rFonts w:ascii="Times New Roman" w:hAnsi="Times New Roman"/>
          <w:noProof/>
          <w:sz w:val="24"/>
          <w:szCs w:val="24"/>
          <w:lang w:val="id-ID"/>
        </w:rPr>
        <w:t>, 0–9. https://doi.org/10.1088/1742-6596/1317/1/012127</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Siswono, Tatag Yuli Eko, Kohar, A. W., &amp; Hartono, S. (2016). </w:t>
      </w:r>
      <w:r w:rsidRPr="00D75340">
        <w:rPr>
          <w:rFonts w:ascii="Times New Roman" w:hAnsi="Times New Roman"/>
          <w:i/>
          <w:iCs/>
          <w:noProof/>
          <w:sz w:val="24"/>
          <w:szCs w:val="24"/>
          <w:lang w:val="id-ID"/>
        </w:rPr>
        <w:t>Keyakinan, Pengetahuan, Dan Praktik Guru Dalam Pemecahan Masalah Matematika</w:t>
      </w:r>
      <w:r w:rsidRPr="00D75340">
        <w:rPr>
          <w:rFonts w:ascii="Times New Roman" w:hAnsi="Times New Roman"/>
          <w:noProof/>
          <w:sz w:val="24"/>
          <w:szCs w:val="24"/>
          <w:lang w:val="id-ID"/>
        </w:rPr>
        <w:t xml:space="preserve"> (Tatag Yuli Eko Siswono (ed.); pp. 453–470). Unesa Unversity Press.</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Siswono, Tatag Yuli Eko, Kohar, A. W., Kurniasari, I., &amp; Astuti, Y. P. (2016). An investigation of Secondary Teachers’ Understanding and Belief on Mathematical Problem Solving. </w:t>
      </w:r>
      <w:r w:rsidRPr="00D75340">
        <w:rPr>
          <w:rFonts w:ascii="Times New Roman" w:hAnsi="Times New Roman"/>
          <w:i/>
          <w:iCs/>
          <w:noProof/>
          <w:sz w:val="24"/>
          <w:szCs w:val="24"/>
          <w:lang w:val="id-ID"/>
        </w:rPr>
        <w:t>Journal of Physics: Conference Series</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693</w:t>
      </w:r>
      <w:r w:rsidRPr="00D75340">
        <w:rPr>
          <w:rFonts w:ascii="Times New Roman" w:hAnsi="Times New Roman"/>
          <w:noProof/>
          <w:sz w:val="24"/>
          <w:szCs w:val="24"/>
          <w:lang w:val="id-ID"/>
        </w:rPr>
        <w:t>(1), 1–19.</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Siswono, Tatag Yuli Eko, Kohar, A. W., Kurniasari, I., Astuti, Y. P., &amp; Hartono, S. (2020). </w:t>
      </w:r>
      <w:r w:rsidRPr="00D75340">
        <w:rPr>
          <w:rFonts w:ascii="Times New Roman" w:hAnsi="Times New Roman"/>
          <w:i/>
          <w:iCs/>
          <w:noProof/>
          <w:sz w:val="24"/>
          <w:szCs w:val="24"/>
          <w:lang w:val="id-ID"/>
        </w:rPr>
        <w:t>Keyakinan, Pengetahuan, dan Praktik Guru Dalam Pemecahan Masalah Matematika</w:t>
      </w:r>
      <w:r w:rsidRPr="00D75340">
        <w:rPr>
          <w:rFonts w:ascii="Times New Roman" w:hAnsi="Times New Roman"/>
          <w:noProof/>
          <w:sz w:val="24"/>
          <w:szCs w:val="24"/>
          <w:lang w:val="id-ID"/>
        </w:rPr>
        <w:t>. Pagan Press.</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Sugiyono. (2017). </w:t>
      </w:r>
      <w:r w:rsidRPr="00D75340">
        <w:rPr>
          <w:rFonts w:ascii="Times New Roman" w:hAnsi="Times New Roman"/>
          <w:i/>
          <w:iCs/>
          <w:noProof/>
          <w:sz w:val="24"/>
          <w:szCs w:val="24"/>
          <w:lang w:val="id-ID"/>
        </w:rPr>
        <w:t>Metode Penelitian Kualitatif</w:t>
      </w:r>
      <w:r w:rsidRPr="00D75340">
        <w:rPr>
          <w:rFonts w:ascii="Times New Roman" w:hAnsi="Times New Roman"/>
          <w:noProof/>
          <w:sz w:val="24"/>
          <w:szCs w:val="24"/>
          <w:lang w:val="id-ID"/>
        </w:rPr>
        <w:t>. Alfabeta.</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r w:rsidRPr="00D75340">
        <w:rPr>
          <w:rFonts w:ascii="Times New Roman" w:hAnsi="Times New Roman"/>
          <w:noProof/>
          <w:sz w:val="24"/>
          <w:szCs w:val="24"/>
          <w:lang w:val="id-ID"/>
        </w:rPr>
        <w:t xml:space="preserve">Swan, M., &amp; Swain, J. (2010). The Impact of A Professional Development Programme on the Practices and Beliefs of Numeracy Teachers. </w:t>
      </w:r>
      <w:r w:rsidRPr="00D75340">
        <w:rPr>
          <w:rFonts w:ascii="Times New Roman" w:hAnsi="Times New Roman"/>
          <w:i/>
          <w:iCs/>
          <w:noProof/>
          <w:sz w:val="24"/>
          <w:szCs w:val="24"/>
          <w:lang w:val="id-ID"/>
        </w:rPr>
        <w:t>Journal of Further and Higher Education</w:t>
      </w:r>
      <w:r w:rsidRPr="00D75340">
        <w:rPr>
          <w:rFonts w:ascii="Times New Roman" w:hAnsi="Times New Roman"/>
          <w:noProof/>
          <w:sz w:val="24"/>
          <w:szCs w:val="24"/>
          <w:lang w:val="id-ID"/>
        </w:rPr>
        <w:t xml:space="preserve">, </w:t>
      </w:r>
      <w:r w:rsidRPr="00D75340">
        <w:rPr>
          <w:rFonts w:ascii="Times New Roman" w:hAnsi="Times New Roman"/>
          <w:i/>
          <w:iCs/>
          <w:noProof/>
          <w:sz w:val="24"/>
          <w:szCs w:val="24"/>
          <w:lang w:val="id-ID"/>
        </w:rPr>
        <w:t>34</w:t>
      </w:r>
      <w:r w:rsidRPr="00D75340">
        <w:rPr>
          <w:rFonts w:ascii="Times New Roman" w:hAnsi="Times New Roman"/>
          <w:noProof/>
          <w:sz w:val="24"/>
          <w:szCs w:val="24"/>
          <w:lang w:val="id-ID"/>
        </w:rPr>
        <w:t>(2), 165–177. https://doi.org/10.1080/03098771003695445</w:t>
      </w: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szCs w:val="24"/>
          <w:lang w:val="id-ID"/>
        </w:rPr>
      </w:pPr>
    </w:p>
    <w:p w:rsidR="00450DE9" w:rsidRPr="00D75340" w:rsidRDefault="00450DE9" w:rsidP="00450DE9">
      <w:pPr>
        <w:widowControl w:val="0"/>
        <w:autoSpaceDE w:val="0"/>
        <w:autoSpaceDN w:val="0"/>
        <w:adjustRightInd w:val="0"/>
        <w:spacing w:after="0"/>
        <w:ind w:left="480" w:hanging="480"/>
        <w:jc w:val="both"/>
        <w:rPr>
          <w:rFonts w:ascii="Times New Roman" w:hAnsi="Times New Roman"/>
          <w:noProof/>
          <w:sz w:val="24"/>
          <w:lang w:val="id-ID"/>
        </w:rPr>
      </w:pPr>
      <w:r w:rsidRPr="00D75340">
        <w:rPr>
          <w:rFonts w:ascii="Times New Roman" w:hAnsi="Times New Roman"/>
          <w:noProof/>
          <w:sz w:val="24"/>
          <w:szCs w:val="24"/>
          <w:lang w:val="id-ID"/>
        </w:rPr>
        <w:t xml:space="preserve">Uraini, F. S. (2019). </w:t>
      </w:r>
      <w:r w:rsidRPr="00D75340">
        <w:rPr>
          <w:rFonts w:ascii="Times New Roman" w:hAnsi="Times New Roman"/>
          <w:i/>
          <w:iCs/>
          <w:noProof/>
          <w:sz w:val="24"/>
          <w:szCs w:val="24"/>
          <w:lang w:val="id-ID"/>
        </w:rPr>
        <w:t>Keyakinan Matematis Dalam Pembelajaran Matematika Pada Materi Persamaan dan Pertidaksamaan Nilai Mutlak Linear Satu Variabel Kelas X DI SMA Ma’arif NU Pandaan Pasuruan Tahun Ajaran 2018/2019</w:t>
      </w:r>
      <w:r w:rsidRPr="00D75340">
        <w:rPr>
          <w:rFonts w:ascii="Times New Roman" w:hAnsi="Times New Roman"/>
          <w:noProof/>
          <w:sz w:val="24"/>
          <w:szCs w:val="24"/>
          <w:lang w:val="id-ID"/>
        </w:rPr>
        <w:t>. IAIN Tulungagung.</w:t>
      </w:r>
    </w:p>
    <w:p w:rsidR="00DF294C" w:rsidRPr="00D75340" w:rsidRDefault="00450DE9" w:rsidP="00450DE9">
      <w:pPr>
        <w:pBdr>
          <w:top w:val="nil"/>
          <w:left w:val="nil"/>
          <w:bottom w:val="nil"/>
          <w:right w:val="nil"/>
          <w:between w:val="nil"/>
        </w:pBdr>
        <w:spacing w:after="0"/>
        <w:jc w:val="both"/>
        <w:rPr>
          <w:rFonts w:ascii="Times New Roman" w:eastAsia="Times New Roman" w:hAnsi="Times New Roman"/>
          <w:sz w:val="24"/>
          <w:szCs w:val="24"/>
          <w:lang w:val="id-ID"/>
        </w:rPr>
      </w:pPr>
      <w:r w:rsidRPr="00D75340">
        <w:rPr>
          <w:rFonts w:ascii="Times New Roman" w:eastAsia="Times New Roman" w:hAnsi="Times New Roman"/>
          <w:sz w:val="24"/>
          <w:szCs w:val="24"/>
          <w:lang w:val="id-ID"/>
        </w:rPr>
        <w:fldChar w:fldCharType="end"/>
      </w:r>
    </w:p>
    <w:p w:rsidR="00DF294C" w:rsidRPr="00D75340" w:rsidRDefault="00DF294C">
      <w:pPr>
        <w:widowControl w:val="0"/>
        <w:spacing w:line="240" w:lineRule="auto"/>
        <w:jc w:val="both"/>
        <w:rPr>
          <w:rFonts w:ascii="Times New Roman" w:eastAsia="Times New Roman" w:hAnsi="Times New Roman"/>
          <w:b/>
          <w:sz w:val="24"/>
          <w:szCs w:val="24"/>
          <w:lang w:val="id-ID"/>
        </w:rPr>
      </w:pPr>
    </w:p>
    <w:sectPr w:rsidR="00DF294C" w:rsidRPr="00D75340">
      <w:headerReference w:type="even" r:id="rId14"/>
      <w:headerReference w:type="default" r:id="rId15"/>
      <w:footerReference w:type="even" r:id="rId16"/>
      <w:footerReference w:type="default" r:id="rId17"/>
      <w:headerReference w:type="first" r:id="rId18"/>
      <w:footerReference w:type="first" r:id="rId19"/>
      <w:pgSz w:w="11907" w:h="16840"/>
      <w:pgMar w:top="1418" w:right="1418" w:bottom="1418" w:left="1418" w:header="1008" w:footer="22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A44" w:rsidRDefault="009A0A44">
      <w:pPr>
        <w:spacing w:after="0" w:line="240" w:lineRule="auto"/>
      </w:pPr>
      <w:r>
        <w:separator/>
      </w:r>
    </w:p>
  </w:endnote>
  <w:endnote w:type="continuationSeparator" w:id="0">
    <w:p w:rsidR="009A0A44" w:rsidRDefault="009A0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AMECN+TimesNew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ilb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Default="00983431">
    <w:pPr>
      <w:pBdr>
        <w:top w:val="nil"/>
        <w:left w:val="nil"/>
        <w:bottom w:val="nil"/>
        <w:right w:val="nil"/>
        <w:between w:val="nil"/>
      </w:pBdr>
      <w:tabs>
        <w:tab w:val="center" w:pos="4320"/>
        <w:tab w:val="right" w:pos="8640"/>
      </w:tabs>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end"/>
    </w:r>
  </w:p>
  <w:p w:rsidR="00DF294C" w:rsidRDefault="00DF294C">
    <w:pPr>
      <w:pBdr>
        <w:top w:val="nil"/>
        <w:left w:val="nil"/>
        <w:bottom w:val="nil"/>
        <w:right w:val="nil"/>
        <w:between w:val="nil"/>
      </w:pBdr>
      <w:tabs>
        <w:tab w:val="center" w:pos="4320"/>
        <w:tab w:val="right" w:pos="8640"/>
      </w:tabs>
      <w:ind w:right="360"/>
      <w:rPr>
        <w:rFonts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Pr="009D3411" w:rsidRDefault="00983431">
    <w:pPr>
      <w:pBdr>
        <w:top w:val="nil"/>
        <w:left w:val="nil"/>
        <w:bottom w:val="nil"/>
        <w:right w:val="nil"/>
        <w:between w:val="nil"/>
      </w:pBdr>
      <w:tabs>
        <w:tab w:val="center" w:pos="4320"/>
        <w:tab w:val="right" w:pos="8640"/>
      </w:tabs>
      <w:jc w:val="center"/>
      <w:rPr>
        <w:rFonts w:ascii="Times New Roman" w:hAnsi="Times New Roman"/>
        <w:color w:val="000000"/>
        <w:sz w:val="24"/>
        <w:szCs w:val="24"/>
      </w:rPr>
    </w:pPr>
    <w:r w:rsidRPr="009D3411">
      <w:rPr>
        <w:rFonts w:ascii="Times New Roman" w:hAnsi="Times New Roman"/>
        <w:color w:val="000000"/>
        <w:sz w:val="24"/>
        <w:szCs w:val="24"/>
      </w:rPr>
      <w:fldChar w:fldCharType="begin"/>
    </w:r>
    <w:r w:rsidRPr="009D3411">
      <w:rPr>
        <w:rFonts w:ascii="Times New Roman" w:hAnsi="Times New Roman"/>
        <w:color w:val="000000"/>
        <w:sz w:val="24"/>
        <w:szCs w:val="24"/>
      </w:rPr>
      <w:instrText>PAGE</w:instrText>
    </w:r>
    <w:r w:rsidRPr="009D3411">
      <w:rPr>
        <w:rFonts w:ascii="Times New Roman" w:hAnsi="Times New Roman"/>
        <w:color w:val="000000"/>
        <w:sz w:val="24"/>
        <w:szCs w:val="24"/>
      </w:rPr>
      <w:fldChar w:fldCharType="separate"/>
    </w:r>
    <w:r w:rsidR="009D3411">
      <w:rPr>
        <w:rFonts w:ascii="Times New Roman" w:hAnsi="Times New Roman"/>
        <w:noProof/>
        <w:color w:val="000000"/>
        <w:sz w:val="24"/>
        <w:szCs w:val="24"/>
      </w:rPr>
      <w:t>5</w:t>
    </w:r>
    <w:r w:rsidRPr="009D3411">
      <w:rPr>
        <w:rFonts w:ascii="Times New Roman" w:hAnsi="Times New Roman"/>
        <w:color w:val="000000"/>
        <w:sz w:val="24"/>
        <w:szCs w:val="24"/>
      </w:rPr>
      <w:fldChar w:fldCharType="end"/>
    </w:r>
  </w:p>
  <w:p w:rsidR="00DF294C" w:rsidRDefault="00DF294C">
    <w:pPr>
      <w:pBdr>
        <w:top w:val="nil"/>
        <w:left w:val="nil"/>
        <w:bottom w:val="nil"/>
        <w:right w:val="nil"/>
        <w:between w:val="nil"/>
      </w:pBdr>
      <w:tabs>
        <w:tab w:val="center" w:pos="4320"/>
        <w:tab w:val="right" w:pos="8640"/>
      </w:tabs>
      <w:ind w:right="360"/>
      <w:rPr>
        <w:rFonts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Default="00983431">
    <w:pPr>
      <w:pBdr>
        <w:top w:val="nil"/>
        <w:left w:val="nil"/>
        <w:bottom w:val="nil"/>
        <w:right w:val="nil"/>
        <w:between w:val="nil"/>
      </w:pBdr>
      <w:tabs>
        <w:tab w:val="center" w:pos="4320"/>
        <w:tab w:val="right" w:pos="8640"/>
      </w:tabs>
      <w:ind w:right="-1279"/>
      <w:jc w:val="right"/>
      <w:rPr>
        <w:rFonts w:cs="Calibri"/>
        <w:color w:val="000000"/>
      </w:rPr>
    </w:pPr>
    <w:bookmarkStart w:id="7" w:name="_heading=h.gjdgxs" w:colFirst="0" w:colLast="0"/>
    <w:bookmarkEnd w:id="7"/>
    <w:r>
      <w:rPr>
        <w:rFonts w:cs="Calibri"/>
        <w:color w:val="000000"/>
      </w:rPr>
      <w:t>Copyright (c) 2020 Al-</w:t>
    </w:r>
    <w:proofErr w:type="spellStart"/>
    <w:proofErr w:type="gramStart"/>
    <w:r>
      <w:rPr>
        <w:rFonts w:cs="Calibri"/>
        <w:color w:val="000000"/>
      </w:rPr>
      <w:t>Jabar</w:t>
    </w:r>
    <w:proofErr w:type="spellEnd"/>
    <w:r>
      <w:rPr>
        <w:rFonts w:cs="Calibri"/>
        <w:color w:val="000000"/>
      </w:rPr>
      <w:t xml:space="preserve"> :</w:t>
    </w:r>
    <w:proofErr w:type="gramEnd"/>
    <w:r>
      <w:rPr>
        <w:rFonts w:cs="Calibri"/>
        <w:color w:val="000000"/>
      </w:rPr>
      <w:t xml:space="preserve"> </w:t>
    </w:r>
    <w:proofErr w:type="spellStart"/>
    <w:r>
      <w:rPr>
        <w:rFonts w:cs="Calibri"/>
        <w:color w:val="000000"/>
      </w:rPr>
      <w:t>Jurnal</w:t>
    </w:r>
    <w:proofErr w:type="spellEnd"/>
    <w:r>
      <w:rPr>
        <w:rFonts w:cs="Calibri"/>
        <w:color w:val="000000"/>
      </w:rPr>
      <w:t xml:space="preserve"> </w:t>
    </w:r>
    <w:proofErr w:type="spellStart"/>
    <w:r>
      <w:rPr>
        <w:rFonts w:cs="Calibri"/>
        <w:color w:val="000000"/>
      </w:rPr>
      <w:t>Pendidikan</w:t>
    </w:r>
    <w:proofErr w:type="spellEnd"/>
    <w:r>
      <w:rPr>
        <w:rFonts w:cs="Calibri"/>
        <w:color w:val="000000"/>
      </w:rPr>
      <w:t xml:space="preserve"> </w:t>
    </w:r>
    <w:proofErr w:type="spellStart"/>
    <w:r>
      <w:rPr>
        <w:rFonts w:cs="Calibri"/>
        <w:color w:val="000000"/>
      </w:rPr>
      <w:t>Matematika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A44" w:rsidRDefault="009A0A44">
      <w:pPr>
        <w:spacing w:after="0" w:line="240" w:lineRule="auto"/>
      </w:pPr>
      <w:r>
        <w:separator/>
      </w:r>
    </w:p>
  </w:footnote>
  <w:footnote w:type="continuationSeparator" w:id="0">
    <w:p w:rsidR="009A0A44" w:rsidRDefault="009A0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Default="00DF294C">
    <w:pPr>
      <w:pBdr>
        <w:top w:val="nil"/>
        <w:left w:val="nil"/>
        <w:bottom w:val="nil"/>
        <w:right w:val="nil"/>
        <w:between w:val="nil"/>
      </w:pBdr>
      <w:tabs>
        <w:tab w:val="center" w:pos="4320"/>
        <w:tab w:val="right" w:pos="8640"/>
      </w:tabs>
      <w:rPr>
        <w:rFonts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Default="00DF294C">
    <w:pPr>
      <w:widowControl w:val="0"/>
      <w:pBdr>
        <w:top w:val="nil"/>
        <w:left w:val="nil"/>
        <w:bottom w:val="nil"/>
        <w:right w:val="nil"/>
        <w:between w:val="nil"/>
      </w:pBdr>
      <w:spacing w:after="0"/>
      <w:rPr>
        <w:rFonts w:ascii="Times New Roman" w:eastAsia="Times New Roman" w:hAnsi="Times New Roman"/>
        <w:b/>
        <w:sz w:val="24"/>
        <w:szCs w:val="24"/>
      </w:rPr>
    </w:pPr>
  </w:p>
  <w:tbl>
    <w:tblPr>
      <w:tblStyle w:val="af0"/>
      <w:tblW w:w="9356" w:type="dxa"/>
      <w:tblLayout w:type="fixed"/>
      <w:tblLook w:val="0400" w:firstRow="0" w:lastRow="0" w:firstColumn="0" w:lastColumn="0" w:noHBand="0" w:noVBand="1"/>
    </w:tblPr>
    <w:tblGrid>
      <w:gridCol w:w="4530"/>
      <w:gridCol w:w="4826"/>
    </w:tblGrid>
    <w:tr w:rsidR="00DF294C">
      <w:tc>
        <w:tcPr>
          <w:tcW w:w="4530" w:type="dxa"/>
        </w:tcPr>
        <w:p w:rsidR="00DF294C" w:rsidRDefault="00DF294C">
          <w:pPr>
            <w:pBdr>
              <w:top w:val="nil"/>
              <w:left w:val="nil"/>
              <w:bottom w:val="nil"/>
              <w:right w:val="nil"/>
              <w:between w:val="nil"/>
            </w:pBdr>
            <w:tabs>
              <w:tab w:val="center" w:pos="4320"/>
              <w:tab w:val="right" w:pos="8640"/>
            </w:tabs>
            <w:spacing w:after="0"/>
            <w:rPr>
              <w:rFonts w:ascii="Bilbo" w:eastAsia="Bilbo" w:hAnsi="Bilbo" w:cs="Bilbo"/>
              <w:b/>
              <w:color w:val="000000"/>
              <w:sz w:val="20"/>
              <w:szCs w:val="20"/>
            </w:rPr>
          </w:pPr>
        </w:p>
      </w:tc>
      <w:tc>
        <w:tcPr>
          <w:tcW w:w="4826" w:type="dxa"/>
        </w:tcPr>
        <w:p w:rsidR="00DF294C" w:rsidRDefault="00DF294C">
          <w:pPr>
            <w:pBdr>
              <w:top w:val="nil"/>
              <w:left w:val="nil"/>
              <w:bottom w:val="nil"/>
              <w:right w:val="nil"/>
              <w:between w:val="nil"/>
            </w:pBdr>
            <w:tabs>
              <w:tab w:val="center" w:pos="4320"/>
              <w:tab w:val="right" w:pos="8640"/>
            </w:tabs>
            <w:spacing w:after="0"/>
            <w:rPr>
              <w:rFonts w:ascii="Bilbo" w:eastAsia="Bilbo" w:hAnsi="Bilbo" w:cs="Bilbo"/>
              <w:b/>
              <w:color w:val="000000"/>
              <w:sz w:val="20"/>
              <w:szCs w:val="20"/>
            </w:rPr>
          </w:pPr>
        </w:p>
      </w:tc>
    </w:tr>
  </w:tbl>
  <w:p w:rsidR="00DF294C" w:rsidRDefault="00983431">
    <w:pPr>
      <w:pBdr>
        <w:top w:val="nil"/>
        <w:left w:val="nil"/>
        <w:bottom w:val="nil"/>
        <w:right w:val="nil"/>
        <w:between w:val="nil"/>
      </w:pBdr>
      <w:tabs>
        <w:tab w:val="center" w:pos="4320"/>
        <w:tab w:val="right" w:pos="8640"/>
      </w:tabs>
      <w:rPr>
        <w:rFonts w:ascii="Bilbo" w:eastAsia="Bilbo" w:hAnsi="Bilbo" w:cs="Bilbo"/>
        <w:b/>
        <w:color w:val="000000"/>
        <w:sz w:val="20"/>
        <w:szCs w:val="20"/>
      </w:rPr>
    </w:pPr>
    <w:r>
      <w:rPr>
        <w:rFonts w:ascii="Bilbo" w:eastAsia="Bilbo" w:hAnsi="Bilbo" w:cs="Bilbo"/>
        <w:b/>
        <w:color w:val="000000"/>
        <w:sz w:val="20"/>
        <w:szCs w:val="20"/>
      </w:rPr>
      <w:t>Al-</w:t>
    </w:r>
    <w:proofErr w:type="spellStart"/>
    <w:r>
      <w:rPr>
        <w:rFonts w:ascii="Bilbo" w:eastAsia="Bilbo" w:hAnsi="Bilbo" w:cs="Bilbo"/>
        <w:b/>
        <w:color w:val="000000"/>
        <w:sz w:val="20"/>
        <w:szCs w:val="20"/>
      </w:rPr>
      <w:t>Jabar</w:t>
    </w:r>
    <w:proofErr w:type="spellEnd"/>
    <w:r>
      <w:rPr>
        <w:rFonts w:ascii="Bilbo" w:eastAsia="Bilbo" w:hAnsi="Bilbo" w:cs="Bilbo"/>
        <w:b/>
        <w:color w:val="000000"/>
        <w:sz w:val="20"/>
        <w:szCs w:val="20"/>
      </w:rPr>
      <w:t xml:space="preserve">: </w:t>
    </w:r>
    <w:proofErr w:type="spellStart"/>
    <w:r>
      <w:rPr>
        <w:rFonts w:ascii="Bilbo" w:eastAsia="Bilbo" w:hAnsi="Bilbo" w:cs="Bilbo"/>
        <w:b/>
        <w:color w:val="000000"/>
        <w:sz w:val="20"/>
        <w:szCs w:val="20"/>
      </w:rPr>
      <w:t>Jurnal</w:t>
    </w:r>
    <w:proofErr w:type="spellEnd"/>
    <w:r>
      <w:rPr>
        <w:rFonts w:ascii="Bilbo" w:eastAsia="Bilbo" w:hAnsi="Bilbo" w:cs="Bilbo"/>
        <w:b/>
        <w:color w:val="000000"/>
        <w:sz w:val="20"/>
        <w:szCs w:val="20"/>
      </w:rPr>
      <w:t xml:space="preserve"> </w:t>
    </w:r>
    <w:proofErr w:type="spellStart"/>
    <w:r>
      <w:rPr>
        <w:rFonts w:ascii="Bilbo" w:eastAsia="Bilbo" w:hAnsi="Bilbo" w:cs="Bilbo"/>
        <w:b/>
        <w:color w:val="000000"/>
        <w:sz w:val="20"/>
        <w:szCs w:val="20"/>
      </w:rPr>
      <w:t>Pendidikan</w:t>
    </w:r>
    <w:proofErr w:type="spellEnd"/>
    <w:r>
      <w:rPr>
        <w:rFonts w:ascii="Bilbo" w:eastAsia="Bilbo" w:hAnsi="Bilbo" w:cs="Bilbo"/>
        <w:b/>
        <w:color w:val="000000"/>
        <w:sz w:val="20"/>
        <w:szCs w:val="20"/>
      </w:rPr>
      <w:t xml:space="preserve"> </w:t>
    </w:r>
    <w:proofErr w:type="spellStart"/>
    <w:r>
      <w:rPr>
        <w:rFonts w:ascii="Bilbo" w:eastAsia="Bilbo" w:hAnsi="Bilbo" w:cs="Bilbo"/>
        <w:b/>
        <w:color w:val="000000"/>
        <w:sz w:val="20"/>
        <w:szCs w:val="20"/>
      </w:rPr>
      <w:t>Matematika</w:t>
    </w:r>
    <w:proofErr w:type="spellEnd"/>
    <w:r>
      <w:rPr>
        <w:rFonts w:ascii="Bilbo" w:eastAsia="Bilbo" w:hAnsi="Bilbo" w:cs="Bilbo"/>
        <w:b/>
        <w:color w:val="000000"/>
        <w:sz w:val="20"/>
        <w:szCs w:val="20"/>
      </w:rPr>
      <w:t xml:space="preserve"> </w:t>
    </w:r>
    <w:proofErr w:type="spellStart"/>
    <w:r>
      <w:rPr>
        <w:rFonts w:ascii="Bilbo" w:eastAsia="Bilbo" w:hAnsi="Bilbo" w:cs="Bilbo"/>
        <w:b/>
        <w:color w:val="000000"/>
        <w:sz w:val="20"/>
        <w:szCs w:val="20"/>
      </w:rPr>
      <w:t>Vol</w:t>
    </w:r>
    <w:proofErr w:type="spellEnd"/>
    <w:r>
      <w:rPr>
        <w:rFonts w:ascii="Bilbo" w:eastAsia="Bilbo" w:hAnsi="Bilbo" w:cs="Bilbo"/>
        <w:b/>
        <w:color w:val="000000"/>
        <w:sz w:val="20"/>
        <w:szCs w:val="20"/>
      </w:rPr>
      <w:t xml:space="preserve"> xx No xx</w:t>
    </w:r>
    <w:r>
      <w:rPr>
        <w:rFonts w:ascii="Bilbo" w:eastAsia="Bilbo" w:hAnsi="Bilbo" w:cs="Bilbo"/>
        <w:b/>
        <w:color w:val="000000"/>
        <w:sz w:val="20"/>
        <w:szCs w:val="20"/>
      </w:rPr>
      <w:tab/>
      <w:t>First author</w:t>
    </w:r>
    <w:r>
      <w:rPr>
        <w:rFonts w:ascii="Bilbo" w:eastAsia="Bilbo" w:hAnsi="Bilbo" w:cs="Bilbo"/>
        <w:b/>
        <w:color w:val="000000"/>
        <w:sz w:val="20"/>
        <w:szCs w:val="20"/>
        <w:vertAlign w:val="superscript"/>
      </w:rPr>
      <w:t>1,*</w:t>
    </w:r>
    <w:r>
      <w:rPr>
        <w:rFonts w:ascii="Bilbo" w:eastAsia="Bilbo" w:hAnsi="Bilbo" w:cs="Bilbo"/>
        <w:b/>
        <w:color w:val="000000"/>
        <w:sz w:val="20"/>
        <w:szCs w:val="20"/>
      </w:rPr>
      <w:t>, 2</w:t>
    </w:r>
    <w:r>
      <w:rPr>
        <w:rFonts w:ascii="Bilbo" w:eastAsia="Bilbo" w:hAnsi="Bilbo" w:cs="Bilbo"/>
        <w:b/>
        <w:color w:val="000000"/>
        <w:sz w:val="20"/>
        <w:szCs w:val="20"/>
        <w:vertAlign w:val="superscript"/>
      </w:rPr>
      <w:t>nd</w:t>
    </w:r>
    <w:r>
      <w:rPr>
        <w:rFonts w:ascii="Bilbo" w:eastAsia="Bilbo" w:hAnsi="Bilbo" w:cs="Bilbo"/>
        <w:b/>
        <w:color w:val="000000"/>
        <w:sz w:val="20"/>
        <w:szCs w:val="20"/>
      </w:rPr>
      <w:t xml:space="preserve"> author</w:t>
    </w:r>
    <w:r>
      <w:rPr>
        <w:rFonts w:ascii="Bilbo" w:eastAsia="Bilbo" w:hAnsi="Bilbo" w:cs="Bilbo"/>
        <w:b/>
        <w:color w:val="000000"/>
        <w:sz w:val="20"/>
        <w:szCs w:val="20"/>
        <w:vertAlign w:val="superscript"/>
      </w:rPr>
      <w:t>2</w:t>
    </w:r>
    <w:r>
      <w:rPr>
        <w:rFonts w:ascii="Bilbo" w:eastAsia="Bilbo" w:hAnsi="Bilbo" w:cs="Bilbo"/>
        <w:b/>
        <w:color w:val="000000"/>
        <w:sz w:val="20"/>
        <w:szCs w:val="20"/>
      </w:rPr>
      <w:t>, etc</w:t>
    </w:r>
    <w:r>
      <w:rPr>
        <w:rFonts w:ascii="Bilbo" w:eastAsia="Bilbo" w:hAnsi="Bilbo" w:cs="Bilbo"/>
        <w:b/>
        <w:color w:val="000000"/>
        <w:sz w:val="20"/>
        <w:szCs w:val="20"/>
        <w:vertAlign w:val="superscript"/>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4C" w:rsidRDefault="00983431">
    <w:pPr>
      <w:pBdr>
        <w:top w:val="nil"/>
        <w:left w:val="nil"/>
        <w:bottom w:val="nil"/>
        <w:right w:val="nil"/>
        <w:between w:val="nil"/>
      </w:pBdr>
      <w:tabs>
        <w:tab w:val="center" w:pos="4320"/>
        <w:tab w:val="right" w:pos="8640"/>
      </w:tabs>
      <w:spacing w:after="0"/>
      <w:jc w:val="center"/>
      <w:rPr>
        <w:rFonts w:ascii="Bilbo" w:eastAsia="Bilbo" w:hAnsi="Bilbo" w:cs="Bilbo"/>
        <w:b/>
        <w:color w:val="000000"/>
        <w:sz w:val="24"/>
        <w:szCs w:val="24"/>
      </w:rPr>
    </w:pPr>
    <w:r>
      <w:rPr>
        <w:rFonts w:ascii="Bilbo" w:eastAsia="Bilbo" w:hAnsi="Bilbo" w:cs="Bilbo"/>
        <w:b/>
        <w:color w:val="000000"/>
        <w:sz w:val="24"/>
        <w:szCs w:val="24"/>
      </w:rPr>
      <w:t>Al-</w:t>
    </w:r>
    <w:proofErr w:type="spellStart"/>
    <w:r>
      <w:rPr>
        <w:rFonts w:ascii="Bilbo" w:eastAsia="Bilbo" w:hAnsi="Bilbo" w:cs="Bilbo"/>
        <w:b/>
        <w:color w:val="000000"/>
        <w:sz w:val="24"/>
        <w:szCs w:val="24"/>
      </w:rPr>
      <w:t>Jabar</w:t>
    </w:r>
    <w:proofErr w:type="spellEnd"/>
    <w:r>
      <w:rPr>
        <w:rFonts w:ascii="Bilbo" w:eastAsia="Bilbo" w:hAnsi="Bilbo" w:cs="Bilbo"/>
        <w:b/>
        <w:color w:val="000000"/>
        <w:sz w:val="24"/>
        <w:szCs w:val="24"/>
      </w:rPr>
      <w:t xml:space="preserve">: </w:t>
    </w:r>
    <w:proofErr w:type="spellStart"/>
    <w:r>
      <w:rPr>
        <w:rFonts w:ascii="Bilbo" w:eastAsia="Bilbo" w:hAnsi="Bilbo" w:cs="Bilbo"/>
        <w:b/>
        <w:color w:val="000000"/>
        <w:sz w:val="24"/>
        <w:szCs w:val="24"/>
      </w:rPr>
      <w:t>Jurnal</w:t>
    </w:r>
    <w:proofErr w:type="spellEnd"/>
    <w:r>
      <w:rPr>
        <w:rFonts w:ascii="Bilbo" w:eastAsia="Bilbo" w:hAnsi="Bilbo" w:cs="Bilbo"/>
        <w:b/>
        <w:color w:val="000000"/>
        <w:sz w:val="24"/>
        <w:szCs w:val="24"/>
      </w:rPr>
      <w:t xml:space="preserve"> </w:t>
    </w:r>
    <w:proofErr w:type="spellStart"/>
    <w:r>
      <w:rPr>
        <w:rFonts w:ascii="Bilbo" w:eastAsia="Bilbo" w:hAnsi="Bilbo" w:cs="Bilbo"/>
        <w:b/>
        <w:color w:val="000000"/>
        <w:sz w:val="24"/>
        <w:szCs w:val="24"/>
      </w:rPr>
      <w:t>Pendidikan</w:t>
    </w:r>
    <w:proofErr w:type="spellEnd"/>
    <w:r>
      <w:rPr>
        <w:rFonts w:ascii="Bilbo" w:eastAsia="Bilbo" w:hAnsi="Bilbo" w:cs="Bilbo"/>
        <w:b/>
        <w:color w:val="000000"/>
        <w:sz w:val="24"/>
        <w:szCs w:val="24"/>
      </w:rPr>
      <w:t xml:space="preserve"> </w:t>
    </w:r>
    <w:proofErr w:type="spellStart"/>
    <w:r>
      <w:rPr>
        <w:rFonts w:ascii="Bilbo" w:eastAsia="Bilbo" w:hAnsi="Bilbo" w:cs="Bilbo"/>
        <w:b/>
        <w:color w:val="000000"/>
        <w:sz w:val="24"/>
        <w:szCs w:val="24"/>
      </w:rPr>
      <w:t>Matematika</w:t>
    </w:r>
    <w:proofErr w:type="spellEnd"/>
  </w:p>
  <w:p w:rsidR="00DF294C" w:rsidRDefault="00983431">
    <w:pPr>
      <w:pBdr>
        <w:top w:val="nil"/>
        <w:left w:val="nil"/>
        <w:bottom w:val="nil"/>
        <w:right w:val="nil"/>
        <w:between w:val="nil"/>
      </w:pBdr>
      <w:tabs>
        <w:tab w:val="center" w:pos="4320"/>
        <w:tab w:val="right" w:pos="8640"/>
      </w:tabs>
      <w:spacing w:after="0"/>
      <w:jc w:val="center"/>
      <w:rPr>
        <w:rFonts w:ascii="Bilbo" w:eastAsia="Bilbo" w:hAnsi="Bilbo" w:cs="Bilbo"/>
        <w:b/>
        <w:color w:val="000000"/>
      </w:rPr>
    </w:pPr>
    <w:r>
      <w:rPr>
        <w:rFonts w:ascii="Bilbo" w:eastAsia="Bilbo" w:hAnsi="Bilbo" w:cs="Bilbo"/>
        <w:b/>
        <w:color w:val="000000"/>
      </w:rPr>
      <w:t>Vol. xx, No. x, 20xx, Hal xx – xx</w:t>
    </w:r>
  </w:p>
  <w:p w:rsidR="00DF294C" w:rsidRDefault="00983431">
    <w:pPr>
      <w:jc w:val="center"/>
      <w:rPr>
        <w:rFonts w:ascii="Bilbo" w:eastAsia="Bilbo" w:hAnsi="Bilbo" w:cs="Bilbo"/>
      </w:rPr>
    </w:pPr>
    <w:proofErr w:type="gramStart"/>
    <w:r>
      <w:rPr>
        <w:rFonts w:ascii="Bilbo" w:eastAsia="Bilbo" w:hAnsi="Bilbo" w:cs="Bilbo"/>
        <w:b/>
        <w:sz w:val="16"/>
        <w:szCs w:val="16"/>
      </w:rPr>
      <w:t>p-ISSN</w:t>
    </w:r>
    <w:proofErr w:type="gramEnd"/>
    <w:r>
      <w:rPr>
        <w:rFonts w:ascii="Bilbo" w:eastAsia="Bilbo" w:hAnsi="Bilbo" w:cs="Bilbo"/>
        <w:b/>
        <w:sz w:val="16"/>
        <w:szCs w:val="16"/>
      </w:rPr>
      <w:t xml:space="preserve">: </w:t>
    </w:r>
    <w:hyperlink r:id="rId1">
      <w:r>
        <w:rPr>
          <w:rFonts w:ascii="Bilbo" w:eastAsia="Bilbo" w:hAnsi="Bilbo" w:cs="Bilbo"/>
          <w:b/>
          <w:color w:val="000000"/>
          <w:sz w:val="16"/>
          <w:szCs w:val="16"/>
        </w:rPr>
        <w:t>2086-5872</w:t>
      </w:r>
    </w:hyperlink>
    <w:r>
      <w:rPr>
        <w:rFonts w:ascii="Bilbo" w:eastAsia="Bilbo" w:hAnsi="Bilbo" w:cs="Bilbo"/>
        <w:b/>
        <w:sz w:val="16"/>
        <w:szCs w:val="16"/>
      </w:rPr>
      <w:t xml:space="preserve">, e-ISSN: </w:t>
    </w:r>
    <w:hyperlink r:id="rId2">
      <w:r>
        <w:rPr>
          <w:rFonts w:ascii="Bilbo" w:eastAsia="Bilbo" w:hAnsi="Bilbo" w:cs="Bilbo"/>
          <w:b/>
          <w:color w:val="000000"/>
          <w:sz w:val="16"/>
          <w:szCs w:val="16"/>
        </w:rPr>
        <w:t>2540-7562</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A164E6"/>
    <w:multiLevelType w:val="hybridMultilevel"/>
    <w:tmpl w:val="60A40066"/>
    <w:lvl w:ilvl="0" w:tplc="A984DE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A12045"/>
    <w:multiLevelType w:val="hybridMultilevel"/>
    <w:tmpl w:val="65F4E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94C"/>
    <w:rsid w:val="001A0FDE"/>
    <w:rsid w:val="002879D9"/>
    <w:rsid w:val="00450DE9"/>
    <w:rsid w:val="004734C8"/>
    <w:rsid w:val="004D7AF7"/>
    <w:rsid w:val="005726CC"/>
    <w:rsid w:val="005D38FD"/>
    <w:rsid w:val="00700BB3"/>
    <w:rsid w:val="007209FC"/>
    <w:rsid w:val="00722B5F"/>
    <w:rsid w:val="00727197"/>
    <w:rsid w:val="007B1971"/>
    <w:rsid w:val="00966225"/>
    <w:rsid w:val="00983431"/>
    <w:rsid w:val="00985690"/>
    <w:rsid w:val="009A0A44"/>
    <w:rsid w:val="009D3411"/>
    <w:rsid w:val="00BD2F4A"/>
    <w:rsid w:val="00C23FFE"/>
    <w:rsid w:val="00D244FA"/>
    <w:rsid w:val="00D4307E"/>
    <w:rsid w:val="00D5420C"/>
    <w:rsid w:val="00D75340"/>
    <w:rsid w:val="00DF294C"/>
    <w:rsid w:val="00E00C37"/>
    <w:rsid w:val="00F2470F"/>
    <w:rsid w:val="00FB6CE5"/>
    <w:rsid w:val="00FD5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DC865F-8999-4A76-B473-9802676A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1"/>
    <w:next w:val="Normal1"/>
    <w:link w:val="Heading1Char"/>
    <w:rsid w:val="00D12280"/>
    <w:pPr>
      <w:keepNext/>
      <w:keepLines/>
      <w:spacing w:before="480" w:after="120"/>
      <w:outlineLvl w:val="0"/>
    </w:pPr>
    <w:rPr>
      <w:b/>
      <w:sz w:val="48"/>
      <w:szCs w:val="48"/>
      <w:lang w:eastAsia="id-ID"/>
    </w:rPr>
  </w:style>
  <w:style w:type="paragraph" w:styleId="Heading2">
    <w:name w:val="heading 2"/>
    <w:basedOn w:val="Normal1"/>
    <w:next w:val="Normal1"/>
    <w:link w:val="Heading2Char"/>
    <w:rsid w:val="00D12280"/>
    <w:pPr>
      <w:keepNext/>
      <w:keepLines/>
      <w:spacing w:before="360" w:after="80"/>
      <w:outlineLvl w:val="1"/>
    </w:pPr>
    <w:rPr>
      <w:b/>
      <w:sz w:val="36"/>
      <w:szCs w:val="36"/>
      <w:lang w:eastAsia="id-ID"/>
    </w:rPr>
  </w:style>
  <w:style w:type="paragraph" w:styleId="Heading3">
    <w:name w:val="heading 3"/>
    <w:basedOn w:val="Normal1"/>
    <w:next w:val="Normal1"/>
    <w:link w:val="Heading3Char"/>
    <w:rsid w:val="00D12280"/>
    <w:pPr>
      <w:keepNext/>
      <w:keepLines/>
      <w:spacing w:before="280" w:after="80"/>
      <w:outlineLvl w:val="2"/>
    </w:pPr>
    <w:rPr>
      <w:b/>
      <w:sz w:val="28"/>
      <w:szCs w:val="28"/>
      <w:lang w:eastAsia="id-ID"/>
    </w:rPr>
  </w:style>
  <w:style w:type="paragraph" w:styleId="Heading4">
    <w:name w:val="heading 4"/>
    <w:basedOn w:val="Normal1"/>
    <w:next w:val="Normal1"/>
    <w:link w:val="Heading4Char"/>
    <w:rsid w:val="00D12280"/>
    <w:pPr>
      <w:keepNext/>
      <w:keepLines/>
      <w:spacing w:before="240" w:after="40"/>
      <w:outlineLvl w:val="3"/>
    </w:pPr>
    <w:rPr>
      <w:b/>
      <w:sz w:val="24"/>
      <w:szCs w:val="24"/>
      <w:lang w:eastAsia="id-ID"/>
    </w:rPr>
  </w:style>
  <w:style w:type="paragraph" w:styleId="Heading5">
    <w:name w:val="heading 5"/>
    <w:basedOn w:val="Normal1"/>
    <w:next w:val="Normal1"/>
    <w:link w:val="Heading5Char"/>
    <w:rsid w:val="00D12280"/>
    <w:pPr>
      <w:keepNext/>
      <w:keepLines/>
      <w:spacing w:before="220" w:after="40"/>
      <w:outlineLvl w:val="4"/>
    </w:pPr>
    <w:rPr>
      <w:b/>
      <w:lang w:eastAsia="id-ID"/>
    </w:rPr>
  </w:style>
  <w:style w:type="paragraph" w:styleId="Heading6">
    <w:name w:val="heading 6"/>
    <w:basedOn w:val="Normal1"/>
    <w:next w:val="Normal1"/>
    <w:link w:val="Heading6Char"/>
    <w:rsid w:val="00D12280"/>
    <w:pPr>
      <w:keepNext/>
      <w:keepLines/>
      <w:spacing w:before="200" w:after="40"/>
      <w:outlineLvl w:val="5"/>
    </w:pPr>
    <w:rPr>
      <w:b/>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rsid w:val="00D12280"/>
    <w:pPr>
      <w:keepNext/>
      <w:keepLines/>
      <w:spacing w:before="480" w:after="120"/>
    </w:pPr>
    <w:rPr>
      <w:b/>
      <w:sz w:val="72"/>
      <w:szCs w:val="72"/>
      <w:lang w:eastAsia="id-ID"/>
    </w:rPr>
  </w:style>
  <w:style w:type="paragraph" w:customStyle="1" w:styleId="Normal1">
    <w:name w:val="Normal1"/>
    <w:rsid w:val="000267E7"/>
  </w:style>
  <w:style w:type="character" w:customStyle="1" w:styleId="Heading1Char">
    <w:name w:val="Heading 1 Char"/>
    <w:basedOn w:val="DefaultParagraphFont"/>
    <w:link w:val="Heading1"/>
    <w:rsid w:val="00D12280"/>
    <w:rPr>
      <w:rFonts w:eastAsia="Calibri"/>
      <w:b/>
      <w:sz w:val="48"/>
      <w:szCs w:val="48"/>
      <w:lang w:val="en-US"/>
    </w:rPr>
  </w:style>
  <w:style w:type="character" w:customStyle="1" w:styleId="Heading2Char">
    <w:name w:val="Heading 2 Char"/>
    <w:basedOn w:val="DefaultParagraphFont"/>
    <w:link w:val="Heading2"/>
    <w:rsid w:val="00D12280"/>
    <w:rPr>
      <w:rFonts w:eastAsia="Calibri"/>
      <w:b/>
      <w:sz w:val="36"/>
      <w:szCs w:val="36"/>
      <w:lang w:val="en-US"/>
    </w:rPr>
  </w:style>
  <w:style w:type="character" w:customStyle="1" w:styleId="Heading3Char">
    <w:name w:val="Heading 3 Char"/>
    <w:basedOn w:val="DefaultParagraphFont"/>
    <w:link w:val="Heading3"/>
    <w:rsid w:val="00D12280"/>
    <w:rPr>
      <w:rFonts w:eastAsia="Calibri"/>
      <w:b/>
      <w:sz w:val="28"/>
      <w:szCs w:val="28"/>
      <w:lang w:val="en-US"/>
    </w:rPr>
  </w:style>
  <w:style w:type="character" w:customStyle="1" w:styleId="Heading4Char">
    <w:name w:val="Heading 4 Char"/>
    <w:basedOn w:val="DefaultParagraphFont"/>
    <w:link w:val="Heading4"/>
    <w:rsid w:val="00D12280"/>
    <w:rPr>
      <w:rFonts w:eastAsia="Calibri"/>
      <w:b/>
      <w:sz w:val="24"/>
      <w:szCs w:val="24"/>
      <w:lang w:val="en-US"/>
    </w:rPr>
  </w:style>
  <w:style w:type="character" w:customStyle="1" w:styleId="Heading5Char">
    <w:name w:val="Heading 5 Char"/>
    <w:basedOn w:val="DefaultParagraphFont"/>
    <w:link w:val="Heading5"/>
    <w:rsid w:val="00D12280"/>
    <w:rPr>
      <w:rFonts w:eastAsia="Calibri"/>
      <w:b/>
      <w:sz w:val="22"/>
      <w:szCs w:val="22"/>
      <w:lang w:val="en-US"/>
    </w:rPr>
  </w:style>
  <w:style w:type="character" w:customStyle="1" w:styleId="Heading6Char">
    <w:name w:val="Heading 6 Char"/>
    <w:basedOn w:val="DefaultParagraphFont"/>
    <w:link w:val="Heading6"/>
    <w:rsid w:val="00D12280"/>
    <w:rPr>
      <w:rFonts w:eastAsia="Calibri"/>
      <w:b/>
      <w:lang w:val="en-US"/>
    </w:rPr>
  </w:style>
  <w:style w:type="paragraph" w:styleId="ListParagraph">
    <w:name w:val="List Paragraph"/>
    <w:aliases w:val="Body of text,List Paragraph1,Colorful List - Accent 11,Medium Grid 1 - Accent 21,Body of text+1,Body of text+2,Body of text+3,List Paragraph11,rpp3,nana,Body of textCxSp,soal jawab,HEADING 1"/>
    <w:basedOn w:val="Normal"/>
    <w:link w:val="ListParagraphChar"/>
    <w:uiPriority w:val="34"/>
    <w:qFormat/>
    <w:pPr>
      <w:ind w:left="720"/>
      <w:contextualSpacing/>
    </w:p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rpp3 Char,nana Char,Body of textCxSp Char"/>
    <w:basedOn w:val="DefaultParagraphFont"/>
    <w:link w:val="ListParagraph"/>
    <w:uiPriority w:val="34"/>
    <w:qFormat/>
    <w:locked/>
    <w:rsid w:val="00D15036"/>
    <w:rPr>
      <w:rFonts w:cs="Times New Roman"/>
      <w:sz w:val="22"/>
      <w:szCs w:val="22"/>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Emphasis">
    <w:name w:val="Emphasis"/>
    <w:basedOn w:val="DefaultParagraphFont"/>
    <w:uiPriority w:val="20"/>
    <w:qFormat/>
    <w:rPr>
      <w:rFonts w:cs="Times New Roman"/>
      <w:i/>
      <w:iCs/>
    </w:rPr>
  </w:style>
  <w:style w:type="paragraph" w:styleId="NormalWeb">
    <w:name w:val="Normal (Web)"/>
    <w:basedOn w:val="Normal"/>
    <w:uiPriority w:val="99"/>
    <w:pPr>
      <w:spacing w:before="100" w:beforeAutospacing="1" w:after="100" w:afterAutospacing="1" w:line="240" w:lineRule="auto"/>
    </w:pPr>
    <w:rPr>
      <w:rFonts w:ascii="Times New Roman" w:hAnsi="Times New Roman"/>
      <w:sz w:val="24"/>
      <w:szCs w:val="24"/>
    </w:rPr>
  </w:style>
  <w:style w:type="character" w:styleId="FootnoteReference">
    <w:name w:val="footnote reference"/>
    <w:basedOn w:val="DefaultParagraphFont"/>
    <w:uiPriority w:val="99"/>
    <w:rPr>
      <w:rFonts w:cs="Times New Roman"/>
      <w:vertAlign w:val="superscript"/>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cs="Times New Roman"/>
      <w:lang w:val="en-US" w:eastAsia="en-US"/>
    </w:rPr>
  </w:style>
  <w:style w:type="character" w:customStyle="1" w:styleId="hps">
    <w:name w:val="hps"/>
    <w:basedOn w:val="DefaultParagraphFont"/>
    <w:rPr>
      <w:rFonts w:cs="Times New Roman"/>
    </w:rPr>
  </w:style>
  <w:style w:type="character" w:customStyle="1" w:styleId="hpsatn">
    <w:name w:val="hps atn"/>
    <w:basedOn w:val="DefaultParagraphFont"/>
    <w:rPr>
      <w:rFonts w:cs="Times New Roman"/>
    </w:rPr>
  </w:style>
  <w:style w:type="character" w:customStyle="1" w:styleId="atn">
    <w:name w:val="atn"/>
    <w:basedOn w:val="DefaultParagraphFont"/>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cs="Times New Roman"/>
      <w:sz w:val="22"/>
      <w:szCs w:val="22"/>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cs="Times New Roman"/>
      <w:sz w:val="22"/>
      <w:szCs w:val="22"/>
      <w:lang w:val="en-US" w:eastAsia="en-U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NoSpacing">
    <w:name w:val="No Spacing"/>
    <w:uiPriority w:val="1"/>
    <w:qFormat/>
    <w:rPr>
      <w:rFonts w:eastAsia="Malgun Gothic"/>
    </w:rPr>
  </w:style>
  <w:style w:type="paragraph" w:customStyle="1" w:styleId="authorname">
    <w:name w:val="author name"/>
    <w:basedOn w:val="Normal"/>
    <w:next w:val="Normal"/>
    <w:pPr>
      <w:suppressAutoHyphens/>
      <w:autoSpaceDE w:val="0"/>
      <w:spacing w:after="0" w:line="240" w:lineRule="auto"/>
    </w:pPr>
    <w:rPr>
      <w:rFonts w:ascii="HAMECN+TimesNewRoman" w:hAnsi="HAMECN+TimesNewRoman"/>
      <w:sz w:val="24"/>
      <w:szCs w:val="24"/>
      <w:lang w:eastAsia="ar-SA"/>
    </w:rPr>
  </w:style>
  <w:style w:type="paragraph" w:customStyle="1" w:styleId="authoraffiliation">
    <w:name w:val="author affiliation"/>
    <w:basedOn w:val="Normal"/>
    <w:next w:val="Normal"/>
    <w:pPr>
      <w:suppressAutoHyphens/>
      <w:autoSpaceDE w:val="0"/>
      <w:spacing w:after="0" w:line="240" w:lineRule="auto"/>
    </w:pPr>
    <w:rPr>
      <w:rFonts w:ascii="HAMECN+TimesNewRoman" w:hAnsi="HAMECN+TimesNewRoman"/>
      <w:sz w:val="24"/>
      <w:szCs w:val="24"/>
      <w:lang w:eastAsia="ar-SA"/>
    </w:rPr>
  </w:style>
  <w:style w:type="paragraph" w:customStyle="1" w:styleId="Author">
    <w:name w:val="Author"/>
    <w:basedOn w:val="Normal"/>
    <w:pPr>
      <w:spacing w:after="240" w:line="240" w:lineRule="auto"/>
      <w:jc w:val="center"/>
    </w:pPr>
    <w:rPr>
      <w:rFonts w:ascii="Times New Roman" w:hAnsi="Times New Roman"/>
      <w:b/>
      <w:sz w:val="20"/>
      <w:szCs w:val="20"/>
    </w:rPr>
  </w:style>
  <w:style w:type="character" w:customStyle="1" w:styleId="alt-edited">
    <w:name w:val="alt-edited"/>
    <w:basedOn w:val="DefaultParagraphFont"/>
  </w:style>
  <w:style w:type="table" w:customStyle="1" w:styleId="a">
    <w:name w:val="a"/>
    <w:basedOn w:val="TableNormal"/>
    <w:rsid w:val="00702D52"/>
    <w:tblPr>
      <w:tblStyleRowBandSize w:val="1"/>
      <w:tblStyleColBandSize w:val="1"/>
      <w:tblInd w:w="0" w:type="dxa"/>
      <w:tblCellMar>
        <w:top w:w="0" w:type="dxa"/>
        <w:left w:w="0" w:type="dxa"/>
        <w:bottom w:w="0" w:type="dxa"/>
        <w:right w:w="0" w:type="dxa"/>
      </w:tblCellMar>
    </w:tblPr>
  </w:style>
  <w:style w:type="table" w:customStyle="1" w:styleId="a0">
    <w:name w:val="a0"/>
    <w:basedOn w:val="TableNormal"/>
    <w:rsid w:val="00702D52"/>
    <w:rPr>
      <w:color w:val="000000"/>
    </w:rPr>
    <w:tblPr>
      <w:tblStyleRowBandSize w:val="1"/>
      <w:tblStyleColBandSize w:val="1"/>
      <w:tblInd w:w="0" w:type="dxa"/>
      <w:tblCellMar>
        <w:top w:w="0" w:type="dxa"/>
        <w:left w:w="108" w:type="dxa"/>
        <w:bottom w:w="0" w:type="dxa"/>
        <w:right w:w="108" w:type="dxa"/>
      </w:tblCellMar>
    </w:tblPr>
  </w:style>
  <w:style w:type="table" w:customStyle="1" w:styleId="a1">
    <w:name w:val="a1"/>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2">
    <w:name w:val="a2"/>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3">
    <w:name w:val="a3"/>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4">
    <w:name w:val="a4"/>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5">
    <w:name w:val="a5"/>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6">
    <w:name w:val="a6"/>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table" w:customStyle="1" w:styleId="a7">
    <w:name w:val="a7"/>
    <w:basedOn w:val="TableNormal"/>
    <w:rsid w:val="00D15036"/>
    <w:rPr>
      <w:color w:val="000000"/>
    </w:rPr>
    <w:tblPr>
      <w:tblStyleRowBandSize w:val="1"/>
      <w:tblStyleColBandSize w:val="1"/>
      <w:tblInd w:w="0" w:type="dxa"/>
      <w:tblCellMar>
        <w:top w:w="0" w:type="dxa"/>
        <w:left w:w="108" w:type="dxa"/>
        <w:bottom w:w="0" w:type="dxa"/>
        <w:right w:w="108" w:type="dxa"/>
      </w:tblCellMar>
    </w:tblPr>
  </w:style>
  <w:style w:type="character" w:customStyle="1" w:styleId="CommentTextChar">
    <w:name w:val="Comment Text Char"/>
    <w:basedOn w:val="DefaultParagraphFont"/>
    <w:link w:val="CommentText"/>
    <w:semiHidden/>
    <w:rsid w:val="00D12280"/>
    <w:rPr>
      <w:rFonts w:asciiTheme="minorHAnsi" w:eastAsiaTheme="minorHAnsi" w:hAnsiTheme="minorHAnsi" w:cstheme="minorBidi"/>
      <w:lang w:eastAsia="en-US"/>
    </w:rPr>
  </w:style>
  <w:style w:type="paragraph" w:styleId="CommentText">
    <w:name w:val="annotation text"/>
    <w:basedOn w:val="Normal"/>
    <w:link w:val="CommentTextChar"/>
    <w:semiHidden/>
    <w:unhideWhenUsed/>
    <w:rsid w:val="00D12280"/>
    <w:pPr>
      <w:spacing w:line="240" w:lineRule="auto"/>
    </w:pPr>
    <w:rPr>
      <w:rFonts w:asciiTheme="minorHAnsi" w:eastAsiaTheme="minorHAnsi" w:hAnsiTheme="minorHAnsi" w:cstheme="minorBidi"/>
      <w:sz w:val="20"/>
      <w:szCs w:val="20"/>
      <w:lang w:val="id-ID"/>
    </w:rPr>
  </w:style>
  <w:style w:type="character" w:customStyle="1" w:styleId="CommentSubjectChar">
    <w:name w:val="Comment Subject Char"/>
    <w:basedOn w:val="CommentTextChar"/>
    <w:link w:val="CommentSubject"/>
    <w:uiPriority w:val="99"/>
    <w:semiHidden/>
    <w:rsid w:val="00D12280"/>
    <w:rPr>
      <w:rFonts w:asciiTheme="minorHAnsi" w:eastAsiaTheme="minorHAnsi" w:hAnsiTheme="minorHAnsi" w:cs="Times New Roman"/>
      <w:b/>
      <w:bCs/>
      <w:lang w:val="en-US" w:eastAsia="en-US"/>
    </w:rPr>
  </w:style>
  <w:style w:type="paragraph" w:styleId="CommentSubject">
    <w:name w:val="annotation subject"/>
    <w:basedOn w:val="CommentText"/>
    <w:next w:val="CommentText"/>
    <w:link w:val="CommentSubjectChar"/>
    <w:uiPriority w:val="99"/>
    <w:semiHidden/>
    <w:unhideWhenUsed/>
    <w:rsid w:val="00D12280"/>
    <w:rPr>
      <w:rFonts w:ascii="Calibri" w:eastAsia="Times New Roman" w:hAnsi="Calibri" w:cs="Times New Roman"/>
      <w:b/>
      <w:bCs/>
      <w:lang w:val="en-US"/>
    </w:rPr>
  </w:style>
  <w:style w:type="character" w:customStyle="1" w:styleId="TitleChar">
    <w:name w:val="Title Char"/>
    <w:basedOn w:val="DefaultParagraphFont"/>
    <w:link w:val="Title"/>
    <w:rsid w:val="00D12280"/>
    <w:rPr>
      <w:rFonts w:eastAsia="Calibri"/>
      <w:b/>
      <w:sz w:val="72"/>
      <w:szCs w:val="72"/>
      <w:lang w:val="en-US"/>
    </w:rPr>
  </w:style>
  <w:style w:type="paragraph" w:styleId="Subtitle">
    <w:name w:val="Subtitle"/>
    <w:basedOn w:val="Normal"/>
    <w:next w:val="Normal"/>
    <w:link w:val="SubtitleChar"/>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12280"/>
    <w:rPr>
      <w:rFonts w:ascii="Georgia" w:eastAsia="Georgia" w:hAnsi="Georgia" w:cs="Georgia"/>
      <w:i/>
      <w:color w:val="666666"/>
      <w:sz w:val="48"/>
      <w:szCs w:val="48"/>
      <w:lang w:val="en-US"/>
    </w:rPr>
  </w:style>
  <w:style w:type="paragraph" w:styleId="HTMLPreformatted">
    <w:name w:val="HTML Preformatted"/>
    <w:basedOn w:val="Normal"/>
    <w:link w:val="HTMLPreformattedChar"/>
    <w:uiPriority w:val="99"/>
    <w:unhideWhenUsed/>
    <w:rsid w:val="0007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73BF3"/>
    <w:rPr>
      <w:rFonts w:ascii="Courier New" w:hAnsi="Courier New" w:cs="Courier New"/>
      <w:lang w:val="en-US" w:eastAsia="en-US"/>
    </w:rPr>
  </w:style>
  <w:style w:type="paragraph" w:customStyle="1" w:styleId="Normal2">
    <w:name w:val="Normal2"/>
    <w:rsid w:val="005D7B45"/>
  </w:style>
  <w:style w:type="character" w:styleId="PlaceholderText">
    <w:name w:val="Placeholder Text"/>
    <w:basedOn w:val="DefaultParagraphFont"/>
    <w:uiPriority w:val="99"/>
    <w:semiHidden/>
    <w:rsid w:val="005D7B45"/>
    <w:rPr>
      <w:color w:val="808080"/>
    </w:rPr>
  </w:style>
  <w:style w:type="character" w:customStyle="1" w:styleId="longtext">
    <w:name w:val="long_text"/>
    <w:rsid w:val="00864467"/>
  </w:style>
  <w:style w:type="paragraph" w:styleId="PlainText">
    <w:name w:val="Plain Text"/>
    <w:basedOn w:val="Normal"/>
    <w:link w:val="PlainTextChar"/>
    <w:rsid w:val="00864467"/>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864467"/>
    <w:rPr>
      <w:rFonts w:ascii="Courier New" w:hAnsi="Courier New" w:cs="Times New Roman"/>
      <w:lang w:val="en-US" w:eastAsia="en-US"/>
    </w:rPr>
  </w:style>
  <w:style w:type="character" w:customStyle="1" w:styleId="tlid-translation">
    <w:name w:val="tlid-translation"/>
    <w:basedOn w:val="DefaultParagraphFont"/>
    <w:rsid w:val="00B55F2B"/>
  </w:style>
  <w:style w:type="paragraph" w:customStyle="1" w:styleId="Normal3">
    <w:name w:val="Normal3"/>
    <w:rsid w:val="00EF1677"/>
  </w:style>
  <w:style w:type="paragraph" w:customStyle="1" w:styleId="PythagorasTitle">
    <w:name w:val="Pythagoras_Title"/>
    <w:basedOn w:val="Normal"/>
    <w:qFormat/>
    <w:rsid w:val="000F15A7"/>
    <w:pPr>
      <w:spacing w:after="0" w:line="240" w:lineRule="auto"/>
      <w:jc w:val="center"/>
    </w:pPr>
    <w:rPr>
      <w:rFonts w:ascii="Times New Roman" w:hAnsi="Times New Roman"/>
      <w:b/>
      <w:sz w:val="26"/>
      <w:lang w:val="id-ID"/>
    </w:rPr>
  </w:style>
  <w:style w:type="paragraph" w:customStyle="1" w:styleId="PythagorasAbstractBodyEnglish">
    <w:name w:val="Pythagoras_AbstractBodyEnglish"/>
    <w:basedOn w:val="Normal"/>
    <w:qFormat/>
    <w:rsid w:val="000F15A7"/>
    <w:pPr>
      <w:spacing w:after="0" w:line="240" w:lineRule="auto"/>
      <w:ind w:firstLine="567"/>
      <w:jc w:val="both"/>
    </w:pPr>
    <w:rPr>
      <w:rFonts w:ascii="Times New Roman" w:hAnsi="Times New Roman"/>
      <w:i/>
      <w:lang w:val="id-ID"/>
    </w:rPr>
  </w:style>
  <w:style w:type="paragraph" w:customStyle="1" w:styleId="StyleE-JOURNALAbstrakKeywordsBold">
    <w:name w:val="Style E-JOURNAL_AbstrakKeywords + Bold"/>
    <w:basedOn w:val="Normal"/>
    <w:rsid w:val="000F15A7"/>
    <w:pPr>
      <w:spacing w:before="120" w:after="120" w:line="240" w:lineRule="auto"/>
      <w:jc w:val="both"/>
    </w:pPr>
    <w:rPr>
      <w:rFonts w:ascii="Times New Roman" w:hAnsi="Times New Roman"/>
      <w:b/>
      <w:bCs/>
      <w:iCs/>
      <w:lang w:val="id-ID"/>
    </w:rPr>
  </w:style>
  <w:style w:type="character" w:customStyle="1" w:styleId="UnresolvedMention">
    <w:name w:val="Unresolved Mention"/>
    <w:basedOn w:val="DefaultParagraphFont"/>
    <w:uiPriority w:val="99"/>
    <w:semiHidden/>
    <w:unhideWhenUsed/>
    <w:rsid w:val="001F4E95"/>
    <w:rPr>
      <w:color w:val="605E5C"/>
      <w:shd w:val="clear" w:color="auto" w:fill="E1DFDD"/>
    </w:rPr>
  </w:style>
  <w:style w:type="table" w:customStyle="1" w:styleId="a8">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9">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a">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b">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c">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f">
    <w:basedOn w:val="TableNormal"/>
    <w:rPr>
      <w:color w:val="000000"/>
    </w:rPr>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2879D9"/>
    <w:pPr>
      <w:spacing w:line="240" w:lineRule="auto"/>
      <w:ind w:firstLine="567"/>
      <w:jc w:val="both"/>
    </w:pPr>
    <w:rPr>
      <w:rFonts w:ascii="Times New Roman" w:eastAsiaTheme="minorEastAsia" w:hAnsi="Times New Roman" w:cstheme="minorBidi"/>
      <w:i/>
      <w:iCs/>
      <w:color w:val="1F497D"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journal.radenintan.ac.id/index.php/al-jabar/index"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http://issn.pdii.lipi.go.id/issn.cgi?daftar&amp;1466148445&amp;1&amp;&amp;" TargetMode="External"/><Relationship Id="rId1" Type="http://schemas.openxmlformats.org/officeDocument/2006/relationships/hyperlink" Target="http://issn.pdii.lipi.go.id/issn.cgi?daftar&amp;1267414024&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2Y7d50GmSVSL5muSzqTW2lzdSA==">AMUW2mWoFG9l/vaS9p72J29FJKN848/FmtoRhCN9SR9Bsyy2H4K8h52Cfwxj5axG7cYK7YFZUc7aDZ5OWDLuXd+GlMgkME07NraL0wGqitEf4+k7d7X2uY47fZ6cAUWLu1O2CTwTxKi7jty7gc+JuJzDuMD4ilK8+w==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E79035-424C-4F88-86AE-19552425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22062</Words>
  <Characters>125758</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AsusDZ</cp:lastModifiedBy>
  <cp:revision>10</cp:revision>
  <cp:lastPrinted>2022-05-13T12:44:00Z</cp:lastPrinted>
  <dcterms:created xsi:type="dcterms:W3CDTF">2020-04-09T00:29:00Z</dcterms:created>
  <dcterms:modified xsi:type="dcterms:W3CDTF">2022-05-13T12:55:00Z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d2e3ab4a-8256-3cbd-84b1-baa8d900f7e5</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